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Confidential Draft No. 3 as confidentially submitted to the Securities and Exchange Commission on May 4, 2021.</w:t>
      </w:r>
    </w:p>
    <w:p>
      <w:pPr>
        <w:spacing w:after="0" w:line="4" w:lineRule="exact"/>
        <w:rPr>
          <w:sz w:val="24"/>
          <w:szCs w:val="24"/>
          <w:color w:val="auto"/>
        </w:rPr>
      </w:pPr>
    </w:p>
    <w:p>
      <w:pPr>
        <w:jc w:val="right"/>
        <w:ind w:left="640" w:right="540"/>
        <w:spacing w:after="0" w:line="237"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F-1</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REGISTRATION STATEMENT</w:t>
      </w: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TREMOR INTERNATIONAL LTD.</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3320" w:type="dxa"/>
            <w:vAlign w:val="bottom"/>
          </w:tcPr>
          <w:p>
            <w:pPr>
              <w:jc w:val="center"/>
              <w:ind w:right="308"/>
              <w:spacing w:after="0"/>
              <w:rPr>
                <w:sz w:val="20"/>
                <w:szCs w:val="20"/>
                <w:color w:val="auto"/>
              </w:rPr>
            </w:pPr>
            <w:r>
              <w:rPr>
                <w:rFonts w:ascii="Arial" w:cs="Arial" w:eastAsia="Arial" w:hAnsi="Arial"/>
                <w:sz w:val="14"/>
                <w:szCs w:val="14"/>
                <w:b w:val="1"/>
                <w:bCs w:val="1"/>
                <w:color w:val="auto"/>
                <w:w w:val="93"/>
              </w:rPr>
              <w:t>State of Israel</w:t>
            </w:r>
          </w:p>
        </w:tc>
        <w:tc>
          <w:tcPr>
            <w:tcW w:w="4200" w:type="dxa"/>
            <w:vAlign w:val="bottom"/>
          </w:tcPr>
          <w:p>
            <w:pPr>
              <w:jc w:val="center"/>
              <w:ind w:right="328"/>
              <w:spacing w:after="0"/>
              <w:rPr>
                <w:sz w:val="20"/>
                <w:szCs w:val="20"/>
                <w:color w:val="auto"/>
              </w:rPr>
            </w:pPr>
            <w:r>
              <w:rPr>
                <w:rFonts w:ascii="Arial" w:cs="Arial" w:eastAsia="Arial" w:hAnsi="Arial"/>
                <w:sz w:val="14"/>
                <w:szCs w:val="14"/>
                <w:b w:val="1"/>
                <w:bCs w:val="1"/>
                <w:color w:val="auto"/>
                <w:w w:val="89"/>
              </w:rPr>
              <w:t>7370</w:t>
            </w:r>
          </w:p>
        </w:tc>
        <w:tc>
          <w:tcPr>
            <w:tcW w:w="1900" w:type="dxa"/>
            <w:vAlign w:val="bottom"/>
          </w:tcPr>
          <w:p>
            <w:pPr>
              <w:jc w:val="center"/>
              <w:ind w:left="688"/>
              <w:spacing w:after="0"/>
              <w:rPr>
                <w:sz w:val="20"/>
                <w:szCs w:val="20"/>
                <w:color w:val="auto"/>
              </w:rPr>
            </w:pPr>
            <w:r>
              <w:rPr>
                <w:rFonts w:ascii="Arial" w:cs="Arial" w:eastAsia="Arial" w:hAnsi="Arial"/>
                <w:sz w:val="14"/>
                <w:szCs w:val="14"/>
                <w:b w:val="1"/>
                <w:bCs w:val="1"/>
                <w:color w:val="auto"/>
                <w:w w:val="95"/>
              </w:rPr>
              <w:t>Not Applicable</w:t>
            </w:r>
          </w:p>
        </w:tc>
      </w:tr>
      <w:tr>
        <w:trPr>
          <w:trHeight w:val="148"/>
        </w:trPr>
        <w:tc>
          <w:tcPr>
            <w:tcW w:w="33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(State or Other Jurisdiction of Incorporation or</w:t>
            </w:r>
          </w:p>
        </w:tc>
        <w:tc>
          <w:tcPr>
            <w:tcW w:w="420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4"/>
              </w:rPr>
              <w:t>(Primary Standard Industrial Classification Code</w:t>
            </w:r>
          </w:p>
        </w:tc>
        <w:tc>
          <w:tcPr>
            <w:tcW w:w="1900" w:type="dxa"/>
            <w:vAlign w:val="bottom"/>
          </w:tcPr>
          <w:p>
            <w:pPr>
              <w:jc w:val="center"/>
              <w:ind w:left="68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320" w:type="dxa"/>
            <w:vAlign w:val="bottom"/>
          </w:tcPr>
          <w:p>
            <w:pPr>
              <w:jc w:val="center"/>
              <w:ind w:right="308"/>
              <w:spacing w:after="0"/>
              <w:rPr>
                <w:sz w:val="20"/>
                <w:szCs w:val="20"/>
                <w:color w:val="auto"/>
              </w:rPr>
            </w:pPr>
            <w:r>
              <w:rPr>
                <w:rFonts w:ascii="Arial" w:cs="Arial" w:eastAsia="Arial" w:hAnsi="Arial"/>
                <w:sz w:val="14"/>
                <w:szCs w:val="14"/>
                <w:b w:val="1"/>
                <w:bCs w:val="1"/>
                <w:color w:val="auto"/>
                <w:w w:val="95"/>
              </w:rPr>
              <w:t>Organization)</w:t>
            </w:r>
          </w:p>
        </w:tc>
        <w:tc>
          <w:tcPr>
            <w:tcW w:w="4200" w:type="dxa"/>
            <w:vAlign w:val="bottom"/>
          </w:tcPr>
          <w:p>
            <w:pPr>
              <w:jc w:val="center"/>
              <w:ind w:right="328"/>
              <w:spacing w:after="0"/>
              <w:rPr>
                <w:sz w:val="20"/>
                <w:szCs w:val="20"/>
                <w:color w:val="auto"/>
              </w:rPr>
            </w:pPr>
            <w:r>
              <w:rPr>
                <w:rFonts w:ascii="Arial" w:cs="Arial" w:eastAsia="Arial" w:hAnsi="Arial"/>
                <w:sz w:val="14"/>
                <w:szCs w:val="14"/>
                <w:b w:val="1"/>
                <w:bCs w:val="1"/>
                <w:color w:val="auto"/>
                <w:w w:val="97"/>
              </w:rPr>
              <w:t>Number)</w:t>
            </w:r>
          </w:p>
        </w:tc>
        <w:tc>
          <w:tcPr>
            <w:tcW w:w="1900" w:type="dxa"/>
            <w:vAlign w:val="bottom"/>
          </w:tcPr>
          <w:p>
            <w:pPr>
              <w:jc w:val="center"/>
              <w:ind w:left="688"/>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99"/>
        <w:spacing w:after="0" w:line="229" w:lineRule="auto"/>
        <w:rPr>
          <w:sz w:val="20"/>
          <w:szCs w:val="20"/>
          <w:color w:val="auto"/>
        </w:rPr>
      </w:pPr>
      <w:r>
        <w:rPr>
          <w:rFonts w:ascii="Arial" w:cs="Arial" w:eastAsia="Arial" w:hAnsi="Arial"/>
          <w:sz w:val="14"/>
          <w:szCs w:val="14"/>
          <w:b w:val="1"/>
          <w:bCs w:val="1"/>
          <w:color w:val="auto"/>
        </w:rPr>
        <w:t>Tremor International Ltd.</w:t>
      </w:r>
    </w:p>
    <w:p>
      <w:pPr>
        <w:jc w:val="center"/>
        <w:ind w:right="-99"/>
        <w:spacing w:after="0" w:line="221" w:lineRule="auto"/>
        <w:rPr>
          <w:sz w:val="20"/>
          <w:szCs w:val="20"/>
          <w:color w:val="auto"/>
        </w:rPr>
      </w:pPr>
      <w:r>
        <w:rPr>
          <w:rFonts w:ascii="Arial" w:cs="Arial" w:eastAsia="Arial" w:hAnsi="Arial"/>
          <w:sz w:val="14"/>
          <w:szCs w:val="14"/>
          <w:b w:val="1"/>
          <w:bCs w:val="1"/>
          <w:color w:val="auto"/>
        </w:rPr>
        <w:t>Hashmonaim 121, 2nd Floor</w:t>
      </w:r>
    </w:p>
    <w:p>
      <w:pPr>
        <w:jc w:val="center"/>
        <w:ind w:right="-99"/>
        <w:spacing w:after="0" w:line="221" w:lineRule="auto"/>
        <w:rPr>
          <w:sz w:val="20"/>
          <w:szCs w:val="20"/>
          <w:color w:val="auto"/>
        </w:rPr>
      </w:pPr>
      <w:r>
        <w:rPr>
          <w:rFonts w:ascii="Arial" w:cs="Arial" w:eastAsia="Arial" w:hAnsi="Arial"/>
          <w:sz w:val="14"/>
          <w:szCs w:val="14"/>
          <w:b w:val="1"/>
          <w:bCs w:val="1"/>
          <w:color w:val="auto"/>
        </w:rPr>
        <w:t>Tel Aviv, 6713328, Israel</w:t>
      </w:r>
    </w:p>
    <w:p>
      <w:pPr>
        <w:jc w:val="center"/>
        <w:ind w:right="-99"/>
        <w:spacing w:after="0" w:line="222" w:lineRule="auto"/>
        <w:rPr>
          <w:sz w:val="20"/>
          <w:szCs w:val="20"/>
          <w:color w:val="auto"/>
        </w:rPr>
      </w:pPr>
      <w:r>
        <w:rPr>
          <w:rFonts w:ascii="Arial" w:cs="Arial" w:eastAsia="Arial" w:hAnsi="Arial"/>
          <w:sz w:val="14"/>
          <w:szCs w:val="14"/>
          <w:b w:val="1"/>
          <w:bCs w:val="1"/>
          <w:color w:val="auto"/>
        </w:rPr>
        <w:t>+972-3-545-3900</w:t>
      </w: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Puglisi &amp; Associates</w:t>
      </w:r>
    </w:p>
    <w:p>
      <w:pPr>
        <w:jc w:val="center"/>
        <w:ind w:right="-99"/>
        <w:spacing w:after="0" w:line="226" w:lineRule="auto"/>
        <w:rPr>
          <w:sz w:val="20"/>
          <w:szCs w:val="20"/>
          <w:color w:val="auto"/>
        </w:rPr>
      </w:pPr>
      <w:r>
        <w:rPr>
          <w:rFonts w:ascii="Arial" w:cs="Arial" w:eastAsia="Arial" w:hAnsi="Arial"/>
          <w:sz w:val="14"/>
          <w:szCs w:val="14"/>
          <w:b w:val="1"/>
          <w:bCs w:val="1"/>
          <w:color w:val="auto"/>
        </w:rPr>
        <w:t>850 Library Avenue, Suite 204</w:t>
      </w:r>
    </w:p>
    <w:p>
      <w:pPr>
        <w:jc w:val="center"/>
        <w:ind w:right="-99"/>
        <w:spacing w:after="0" w:line="221" w:lineRule="auto"/>
        <w:rPr>
          <w:sz w:val="20"/>
          <w:szCs w:val="20"/>
          <w:color w:val="auto"/>
        </w:rPr>
      </w:pPr>
      <w:r>
        <w:rPr>
          <w:rFonts w:ascii="Arial" w:cs="Arial" w:eastAsia="Arial" w:hAnsi="Arial"/>
          <w:sz w:val="14"/>
          <w:szCs w:val="14"/>
          <w:b w:val="1"/>
          <w:bCs w:val="1"/>
          <w:color w:val="auto"/>
        </w:rPr>
        <w:t>Newark, DE 19711</w:t>
      </w:r>
    </w:p>
    <w:p>
      <w:pPr>
        <w:jc w:val="center"/>
        <w:ind w:right="-99"/>
        <w:spacing w:after="0" w:line="222" w:lineRule="auto"/>
        <w:rPr>
          <w:sz w:val="20"/>
          <w:szCs w:val="20"/>
          <w:color w:val="auto"/>
        </w:rPr>
      </w:pPr>
      <w:r>
        <w:rPr>
          <w:rFonts w:ascii="Arial" w:cs="Arial" w:eastAsia="Arial" w:hAnsi="Arial"/>
          <w:sz w:val="14"/>
          <w:szCs w:val="14"/>
          <w:b w:val="1"/>
          <w:bCs w:val="1"/>
          <w:color w:val="auto"/>
        </w:rPr>
        <w:t>(302)-738-6680</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16"/>
          <w:szCs w:val="16"/>
          <w:i w:val="1"/>
          <w:iCs w:val="1"/>
          <w:color w:val="auto"/>
        </w:rPr>
        <w:t>Copies to</w:t>
      </w:r>
      <w:r>
        <w:rPr>
          <w:rFonts w:ascii="Arial" w:cs="Arial" w:eastAsia="Arial" w:hAnsi="Arial"/>
          <w:sz w:val="16"/>
          <w:szCs w:val="16"/>
          <w:b w:val="1"/>
          <w:bCs w:val="1"/>
          <w:i w:val="1"/>
          <w:iCs w:val="1"/>
          <w:color w:val="auto"/>
        </w:rPr>
        <w:t>:</w:t>
      </w:r>
    </w:p>
    <w:p>
      <w:pPr>
        <w:spacing w:after="0" w:line="34" w:lineRule="exact"/>
        <w:rPr>
          <w:sz w:val="24"/>
          <w:szCs w:val="24"/>
          <w:color w:val="auto"/>
        </w:rPr>
      </w:pPr>
    </w:p>
    <w:tbl>
      <w:tblPr>
        <w:tblLayout w:type="fixed"/>
        <w:tblInd w:w="840" w:type="dxa"/>
        <w:tblCellMar>
          <w:top w:w="0" w:type="dxa"/>
          <w:left w:w="0" w:type="dxa"/>
          <w:bottom w:w="0" w:type="dxa"/>
          <w:right w:w="0" w:type="dxa"/>
        </w:tblCellMar>
      </w:tblPr>
      <w:tr>
        <w:trPr>
          <w:trHeight w:val="161"/>
        </w:trPr>
        <w:tc>
          <w:tcPr>
            <w:tcW w:w="2200" w:type="dxa"/>
            <w:vAlign w:val="bottom"/>
          </w:tcPr>
          <w:p>
            <w:pPr>
              <w:jc w:val="center"/>
              <w:ind w:right="608"/>
              <w:spacing w:after="0"/>
              <w:rPr>
                <w:sz w:val="20"/>
                <w:szCs w:val="20"/>
                <w:color w:val="auto"/>
              </w:rPr>
            </w:pPr>
            <w:r>
              <w:rPr>
                <w:rFonts w:ascii="Arial" w:cs="Arial" w:eastAsia="Arial" w:hAnsi="Arial"/>
                <w:sz w:val="14"/>
                <w:szCs w:val="14"/>
                <w:b w:val="1"/>
                <w:bCs w:val="1"/>
                <w:color w:val="auto"/>
                <w:w w:val="93"/>
              </w:rPr>
              <w:t>Joshua G. Kiernan</w:t>
            </w:r>
          </w:p>
        </w:tc>
        <w:tc>
          <w:tcPr>
            <w:tcW w:w="254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Tuvia J. Geffen</w:t>
            </w:r>
          </w:p>
        </w:tc>
        <w:tc>
          <w:tcPr>
            <w:tcW w:w="334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David J. Goldschmidt</w:t>
            </w:r>
          </w:p>
        </w:tc>
        <w:tc>
          <w:tcPr>
            <w:tcW w:w="184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Aaron M. Lampert</w:t>
            </w:r>
          </w:p>
        </w:tc>
      </w:tr>
      <w:tr>
        <w:trPr>
          <w:trHeight w:val="149"/>
        </w:trPr>
        <w:tc>
          <w:tcPr>
            <w:tcW w:w="220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4"/>
              </w:rPr>
              <w:t>M. Ryan Benedict</w:t>
            </w:r>
          </w:p>
        </w:tc>
        <w:tc>
          <w:tcPr>
            <w:tcW w:w="25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Naschitz, Brandes,</w:t>
            </w:r>
          </w:p>
        </w:tc>
        <w:tc>
          <w:tcPr>
            <w:tcW w:w="33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Yossi Vebman</w:t>
            </w:r>
          </w:p>
        </w:tc>
        <w:tc>
          <w:tcPr>
            <w:tcW w:w="18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Goldfarb Seligman &amp; Co.</w:t>
            </w:r>
          </w:p>
        </w:tc>
      </w:tr>
      <w:tr>
        <w:trPr>
          <w:trHeight w:val="148"/>
        </w:trPr>
        <w:tc>
          <w:tcPr>
            <w:tcW w:w="220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rPr>
              <w:t>Latham &amp; Watkins LLP</w:t>
            </w:r>
          </w:p>
        </w:tc>
        <w:tc>
          <w:tcPr>
            <w:tcW w:w="25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Amir &amp; Co., Advocates</w:t>
            </w:r>
          </w:p>
        </w:tc>
        <w:tc>
          <w:tcPr>
            <w:tcW w:w="3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Skadden, Arps, Slate, Meagher &amp; Flom LLP</w:t>
            </w:r>
          </w:p>
        </w:tc>
        <w:tc>
          <w:tcPr>
            <w:tcW w:w="18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Ampa Tower</w:t>
            </w:r>
          </w:p>
        </w:tc>
      </w:tr>
      <w:tr>
        <w:trPr>
          <w:trHeight w:val="148"/>
        </w:trPr>
        <w:tc>
          <w:tcPr>
            <w:tcW w:w="220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88"/>
              </w:rPr>
              <w:t>99 Bishopsgate</w:t>
            </w:r>
          </w:p>
        </w:tc>
        <w:tc>
          <w:tcPr>
            <w:tcW w:w="254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5 Tuval Street</w:t>
            </w:r>
          </w:p>
        </w:tc>
        <w:tc>
          <w:tcPr>
            <w:tcW w:w="3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One Manhattan West</w:t>
            </w:r>
          </w:p>
        </w:tc>
        <w:tc>
          <w:tcPr>
            <w:tcW w:w="18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98 Yigal Alon Street</w:t>
            </w:r>
          </w:p>
        </w:tc>
      </w:tr>
      <w:tr>
        <w:trPr>
          <w:trHeight w:val="149"/>
        </w:trPr>
        <w:tc>
          <w:tcPr>
            <w:tcW w:w="220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8"/>
              </w:rPr>
              <w:t>London, EC2M 3XF</w:t>
            </w:r>
          </w:p>
        </w:tc>
        <w:tc>
          <w:tcPr>
            <w:tcW w:w="25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Tel Aviv, 6789717, Israel</w:t>
            </w:r>
          </w:p>
        </w:tc>
        <w:tc>
          <w:tcPr>
            <w:tcW w:w="3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New York, New York 10001</w:t>
            </w:r>
          </w:p>
        </w:tc>
        <w:tc>
          <w:tcPr>
            <w:tcW w:w="18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Tel Aviv 6789141, Israel</w:t>
            </w:r>
          </w:p>
        </w:tc>
      </w:tr>
      <w:tr>
        <w:trPr>
          <w:trHeight w:val="148"/>
        </w:trPr>
        <w:tc>
          <w:tcPr>
            <w:tcW w:w="220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96"/>
              </w:rPr>
              <w:t>United Kingdom</w:t>
            </w:r>
          </w:p>
        </w:tc>
        <w:tc>
          <w:tcPr>
            <w:tcW w:w="25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Tel: +972-3-623-5000</w:t>
            </w:r>
          </w:p>
        </w:tc>
        <w:tc>
          <w:tcPr>
            <w:tcW w:w="3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Tel: (212) 735-3000</w:t>
            </w:r>
          </w:p>
        </w:tc>
        <w:tc>
          <w:tcPr>
            <w:tcW w:w="18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Tel: +972-3-608-9999</w:t>
            </w:r>
          </w:p>
        </w:tc>
      </w:tr>
      <w:tr>
        <w:trPr>
          <w:trHeight w:val="148"/>
        </w:trPr>
        <w:tc>
          <w:tcPr>
            <w:tcW w:w="220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92"/>
              </w:rPr>
              <w:t>Tel: +44.20.7710.1000</w:t>
            </w:r>
          </w:p>
        </w:tc>
        <w:tc>
          <w:tcPr>
            <w:tcW w:w="25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Fax: +972-3-623-5005</w:t>
            </w:r>
          </w:p>
        </w:tc>
        <w:tc>
          <w:tcPr>
            <w:tcW w:w="33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Fax: (212) 735-2000</w:t>
            </w:r>
          </w:p>
        </w:tc>
        <w:tc>
          <w:tcPr>
            <w:tcW w:w="18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6"/>
              </w:rPr>
              <w:t>Fax: +972-3-608-9909</w:t>
            </w:r>
          </w:p>
        </w:tc>
      </w:tr>
      <w:tr>
        <w:trPr>
          <w:trHeight w:val="186"/>
        </w:trPr>
        <w:tc>
          <w:tcPr>
            <w:tcW w:w="2200" w:type="dxa"/>
            <w:vAlign w:val="bottom"/>
          </w:tcPr>
          <w:p>
            <w:pPr>
              <w:jc w:val="center"/>
              <w:ind w:right="608"/>
              <w:spacing w:after="0"/>
              <w:rPr>
                <w:sz w:val="20"/>
                <w:szCs w:val="20"/>
                <w:color w:val="auto"/>
              </w:rPr>
            </w:pPr>
            <w:r>
              <w:rPr>
                <w:rFonts w:ascii="Arial" w:cs="Arial" w:eastAsia="Arial" w:hAnsi="Arial"/>
                <w:sz w:val="14"/>
                <w:szCs w:val="14"/>
                <w:b w:val="1"/>
                <w:bCs w:val="1"/>
                <w:color w:val="auto"/>
                <w:w w:val="93"/>
              </w:rPr>
              <w:t>Fax: +44.20.7374.4460</w:t>
            </w:r>
          </w:p>
        </w:tc>
        <w:tc>
          <w:tcPr>
            <w:tcW w:w="25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93345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9" w:lineRule="exact"/>
        <w:rPr>
          <w:sz w:val="24"/>
          <w:szCs w:val="24"/>
          <w:color w:val="auto"/>
        </w:rPr>
      </w:pPr>
    </w:p>
    <w:p>
      <w:pPr>
        <w:jc w:val="center"/>
        <w:ind w:right="20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4"/>
          <w:szCs w:val="14"/>
          <w:color w:val="auto"/>
        </w:rPr>
        <w:t>☒</w:t>
      </w:r>
    </w:p>
    <w:p>
      <w:pPr>
        <w:spacing w:after="0" w:line="55" w:lineRule="exact"/>
        <w:rPr>
          <w:sz w:val="24"/>
          <w:szCs w:val="24"/>
          <w:color w:val="auto"/>
        </w:rPr>
      </w:pPr>
    </w:p>
    <w:p>
      <w:pPr>
        <w:ind w:left="120" w:right="2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06"/>
        </w:trPr>
        <w:tc>
          <w:tcPr>
            <w:tcW w:w="73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r>
      <w:tr>
        <w:trPr>
          <w:trHeight w:val="148"/>
        </w:trPr>
        <w:tc>
          <w:tcPr>
            <w:tcW w:w="73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Pr>
          <w:p>
            <w:pPr>
              <w:spacing w:after="0"/>
              <w:rPr>
                <w:sz w:val="12"/>
                <w:szCs w:val="12"/>
                <w:color w:val="auto"/>
              </w:rPr>
            </w:pPr>
          </w:p>
        </w:tc>
      </w:tr>
      <w:tr>
        <w:trPr>
          <w:trHeight w:val="158"/>
        </w:trPr>
        <w:tc>
          <w:tcPr>
            <w:tcW w:w="73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860" w:type="dxa"/>
            <w:vAlign w:val="bottom"/>
            <w:tcBorders>
              <w:right w:val="single" w:sz="8" w:color="auto"/>
            </w:tcBorders>
          </w:tcPr>
          <w:p>
            <w:pPr>
              <w:jc w:val="center"/>
              <w:ind w:left="10"/>
              <w:spacing w:after="0" w:line="158"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7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Registered(1)</w:t>
            </w:r>
          </w:p>
        </w:tc>
        <w:tc>
          <w:tcPr>
            <w:tcW w:w="18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6"/>
              </w:rPr>
              <w:t>Offering Price (2)(3)</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r>
      <w:tr>
        <w:trPr>
          <w:trHeight w:val="142"/>
        </w:trPr>
        <w:tc>
          <w:tcPr>
            <w:tcW w:w="7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Ordinary shares, par value NIS 0.01</w:t>
            </w:r>
          </w:p>
        </w:tc>
        <w:tc>
          <w:tcPr>
            <w:tcW w:w="1860" w:type="dxa"/>
            <w:vAlign w:val="bottom"/>
            <w:tcBorders>
              <w:bottom w:val="single" w:sz="8" w:color="auto"/>
              <w:right w:val="single" w:sz="8" w:color="auto"/>
            </w:tcBorders>
          </w:tcPr>
          <w:p>
            <w:pPr>
              <w:jc w:val="right"/>
              <w:ind w:right="930"/>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928"/>
              <w:spacing w:after="0" w:line="142" w:lineRule="exact"/>
              <w:rPr>
                <w:sz w:val="20"/>
                <w:szCs w:val="20"/>
                <w:color w:val="auto"/>
              </w:rPr>
            </w:pPr>
            <w:r>
              <w:rPr>
                <w:rFonts w:ascii="Arial" w:cs="Arial" w:eastAsia="Arial" w:hAnsi="Arial"/>
                <w:sz w:val="14"/>
                <w:szCs w:val="14"/>
                <w:color w:val="auto"/>
              </w:rPr>
              <w:t>$</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American depositary shares (“ADSs”) issuable upon deposit of the ordinary shares registered hereby will be registered under a separate registration statement on Form F-6. Each ADS</w:t>
      </w:r>
    </w:p>
    <w:p>
      <w:pPr>
        <w:ind w:left="540"/>
        <w:spacing w:after="0" w:line="229" w:lineRule="auto"/>
        <w:tabs>
          <w:tab w:leader="none" w:pos="1680" w:val="left"/>
        </w:tabs>
        <w:rPr>
          <w:sz w:val="20"/>
          <w:szCs w:val="20"/>
          <w:color w:val="auto"/>
        </w:rPr>
      </w:pPr>
      <w:r>
        <w:rPr>
          <w:rFonts w:ascii="Arial" w:cs="Arial" w:eastAsia="Arial" w:hAnsi="Arial"/>
          <w:sz w:val="14"/>
          <w:szCs w:val="14"/>
          <w:color w:val="auto"/>
        </w:rPr>
        <w:t>represents</w:t>
      </w:r>
      <w:r>
        <w:rPr>
          <w:sz w:val="20"/>
          <w:szCs w:val="20"/>
          <w:color w:val="auto"/>
        </w:rPr>
        <w:tab/>
      </w:r>
      <w:r>
        <w:rPr>
          <w:rFonts w:ascii="Arial" w:cs="Arial" w:eastAsia="Arial" w:hAnsi="Arial"/>
          <w:sz w:val="14"/>
          <w:szCs w:val="14"/>
          <w:color w:val="auto"/>
        </w:rPr>
        <w:t>ordinary shares.</w:t>
      </w:r>
    </w:p>
    <w:p>
      <w:pPr>
        <w:ind w:left="540" w:hanging="424"/>
        <w:spacing w:after="0" w:line="222"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540" w:hanging="424"/>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ordinary shares, represented by ADSs,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both"/>
        <w:ind w:left="120" w:right="2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08"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FF4338"/>
              </w:rPr>
              <w:t>SUBJECT TO COMPLETION, DATED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FF4338"/>
              </w:rPr>
              <w:t>, 2021</w:t>
            </w:r>
          </w:p>
        </w:tc>
      </w:tr>
    </w:tbl>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3129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12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20"/>
        <w:spacing w:after="0"/>
        <w:tabs>
          <w:tab w:leader="none" w:pos="610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is the initial public offering of Tremor International Ltd. in the United States. We are offering American Depositary Shares (“ADSs”) with</w:t>
      </w:r>
    </w:p>
    <w:p>
      <w:pPr>
        <w:spacing w:after="0" w:line="35"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auto"/>
        </w:rPr>
        <w:t>each ADS representing the right to receive ordinary shares. We intend to apply to have our ADSs listed on under the symbol “TRMR.”</w:t>
      </w:r>
    </w:p>
    <w:p>
      <w:pPr>
        <w:spacing w:after="0" w:line="200" w:lineRule="exact"/>
        <w:rPr>
          <w:sz w:val="20"/>
          <w:szCs w:val="20"/>
          <w:color w:val="auto"/>
        </w:rPr>
      </w:pPr>
    </w:p>
    <w:p>
      <w:pPr>
        <w:spacing w:after="0" w:line="218"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Our ordinary shares trade on AIM, a market of the London Stock Exchange, under the symbol “TRMR.” On , 2021, the last reported sale price of our ordinary shares on AIM was £ per ordinary shares (equivalent to $ per ADS based on an assumed exchange rate of £1.00 to $1. ).</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both an “emerging growth company” and a “foreign private issuer” as defined under the U.S. federal securities laws and, as such, may elect to comply with certain reduced public company reporting requirements. See “</w:t>
      </w:r>
      <w:r>
        <w:rPr>
          <w:rFonts w:ascii="Arial" w:cs="Arial" w:eastAsia="Arial" w:hAnsi="Arial"/>
          <w:sz w:val="18"/>
          <w:szCs w:val="18"/>
          <w:i w:val="1"/>
          <w:iCs w:val="1"/>
          <w:color w:val="auto"/>
        </w:rPr>
        <w:t>Summary—Implications of Being an Emerging Growth Company and</w:t>
      </w:r>
      <w:r>
        <w:rPr>
          <w:rFonts w:ascii="Arial" w:cs="Arial" w:eastAsia="Arial" w:hAnsi="Arial"/>
          <w:sz w:val="18"/>
          <w:szCs w:val="18"/>
          <w:color w:val="auto"/>
        </w:rPr>
        <w:t xml:space="preserve"> </w:t>
      </w:r>
      <w:r>
        <w:rPr>
          <w:rFonts w:ascii="Arial" w:cs="Arial" w:eastAsia="Arial" w:hAnsi="Arial"/>
          <w:sz w:val="18"/>
          <w:szCs w:val="18"/>
          <w:i w:val="1"/>
          <w:iCs w:val="1"/>
          <w:color w:val="auto"/>
        </w:rPr>
        <w:t>a Foreign Private Issuer</w:t>
      </w:r>
      <w:r>
        <w:rPr>
          <w:rFonts w:ascii="Arial" w:cs="Arial" w:eastAsia="Arial" w:hAnsi="Arial"/>
          <w:sz w:val="18"/>
          <w:szCs w:val="18"/>
          <w:color w:val="auto"/>
        </w:rPr>
        <w:t>.”</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Per ADS</w:t>
            </w:r>
          </w:p>
        </w:tc>
        <w:tc>
          <w:tcPr>
            <w:tcW w:w="54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17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7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351"/>
        </w:trPr>
        <w:tc>
          <w:tcPr>
            <w:tcW w:w="30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69" w:lineRule="exact"/>
        <w:rPr>
          <w:sz w:val="20"/>
          <w:szCs w:val="20"/>
          <w:color w:val="auto"/>
        </w:rPr>
      </w:pPr>
    </w:p>
    <w:p>
      <w:pPr>
        <w:ind w:left="540" w:right="20" w:hanging="424"/>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in connection with this offering. See “</w:t>
      </w:r>
      <w:r>
        <w:rPr>
          <w:rFonts w:ascii="Arial" w:cs="Arial" w:eastAsia="Arial" w:hAnsi="Arial"/>
          <w:sz w:val="18"/>
          <w:szCs w:val="18"/>
          <w:i w:val="1"/>
          <w:iCs w:val="1"/>
          <w:color w:val="auto"/>
        </w:rPr>
        <w:t>Underwriting</w:t>
      </w:r>
      <w:r>
        <w:rPr>
          <w:rFonts w:ascii="Arial" w:cs="Arial" w:eastAsia="Arial" w:hAnsi="Arial"/>
          <w:sz w:val="18"/>
          <w:szCs w:val="18"/>
          <w:color w:val="auto"/>
        </w:rPr>
        <w:t>” for additional information regarding underwriter compensation.</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We have granted the underwriters an option to purchase up to</w:t>
            </w: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w w:val="93"/>
              </w:rPr>
              <w:t>additional ADSs from us at the public offering price, less underwriting</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w w:val="93"/>
              </w:rPr>
              <w:t>discounts and commissions, within 30 days from the date of this prospectus.</w:t>
            </w:r>
          </w:p>
        </w:tc>
        <w:tc>
          <w:tcPr>
            <w:tcW w:w="10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51"/>
        </w:trPr>
        <w:tc>
          <w:tcPr>
            <w:tcW w:w="43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340" w:type="dxa"/>
            <w:vAlign w:val="bottom"/>
          </w:tcPr>
          <w:p>
            <w:pPr>
              <w:spacing w:after="0"/>
              <w:rPr>
                <w:sz w:val="24"/>
                <w:szCs w:val="24"/>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left="120" w:right="20"/>
        <w:spacing w:after="0" w:line="277"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ADSs involves risks. See “</w:t>
      </w:r>
      <w:hyperlink w:anchor="page24">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18 to read about factors you should consider before purchasing any of our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20" w:right="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w w:val="96"/>
              </w:rPr>
              <w:t>The underwriters expect to deliver the ADSs to purchasers on or about</w:t>
            </w:r>
          </w:p>
        </w:tc>
        <w:tc>
          <w:tcPr>
            <w:tcW w:w="2660" w:type="dxa"/>
            <w:vAlign w:val="bottom"/>
            <w:gridSpan w:val="2"/>
          </w:tcPr>
          <w:p>
            <w:pPr>
              <w:jc w:val="right"/>
              <w:ind w:right="1712"/>
              <w:spacing w:after="0"/>
              <w:rPr>
                <w:sz w:val="20"/>
                <w:szCs w:val="20"/>
                <w:color w:val="auto"/>
              </w:rPr>
            </w:pPr>
            <w:r>
              <w:rPr>
                <w:rFonts w:ascii="Arial" w:cs="Arial" w:eastAsia="Arial" w:hAnsi="Arial"/>
                <w:sz w:val="18"/>
                <w:szCs w:val="18"/>
                <w:color w:val="auto"/>
              </w:rPr>
              <w:t>, 2021.</w:t>
            </w:r>
          </w:p>
        </w:tc>
      </w:tr>
      <w:tr>
        <w:trPr>
          <w:trHeight w:val="496"/>
        </w:trPr>
        <w:tc>
          <w:tcPr>
            <w:tcW w:w="5460" w:type="dxa"/>
            <w:vAlign w:val="bottom"/>
            <w:gridSpan w:val="2"/>
          </w:tcPr>
          <w:p>
            <w:pPr>
              <w:ind w:left="1300"/>
              <w:spacing w:after="0"/>
              <w:rPr>
                <w:sz w:val="20"/>
                <w:szCs w:val="20"/>
                <w:color w:val="auto"/>
              </w:rPr>
            </w:pPr>
            <w:r>
              <w:rPr>
                <w:rFonts w:ascii="Arial" w:cs="Arial" w:eastAsia="Arial" w:hAnsi="Arial"/>
                <w:sz w:val="22"/>
                <w:szCs w:val="22"/>
                <w:b w:val="1"/>
                <w:bCs w:val="1"/>
                <w:color w:val="auto"/>
              </w:rPr>
              <w:t>RBC Capital Markets</w:t>
            </w:r>
          </w:p>
        </w:tc>
        <w:tc>
          <w:tcPr>
            <w:tcW w:w="7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2"/>
                <w:szCs w:val="22"/>
                <w:b w:val="1"/>
                <w:bCs w:val="1"/>
                <w:color w:val="auto"/>
              </w:rPr>
              <w:t>Stifel</w:t>
            </w:r>
          </w:p>
        </w:tc>
      </w:tr>
      <w:tr>
        <w:trPr>
          <w:trHeight w:val="341"/>
        </w:trPr>
        <w:tc>
          <w:tcPr>
            <w:tcW w:w="39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26"/>
        </w:trPr>
        <w:tc>
          <w:tcPr>
            <w:tcW w:w="5460" w:type="dxa"/>
            <w:vAlign w:val="bottom"/>
            <w:gridSpan w:val="2"/>
          </w:tcPr>
          <w:p>
            <w:pPr>
              <w:ind w:left="3800"/>
              <w:spacing w:after="0"/>
              <w:rPr>
                <w:sz w:val="20"/>
                <w:szCs w:val="20"/>
                <w:color w:val="auto"/>
              </w:rPr>
            </w:pPr>
            <w:r>
              <w:rPr>
                <w:rFonts w:ascii="Arial" w:cs="Arial" w:eastAsia="Arial" w:hAnsi="Arial"/>
                <w:sz w:val="18"/>
                <w:szCs w:val="18"/>
                <w:b w:val="1"/>
                <w:bCs w:val="1"/>
                <w:color w:val="auto"/>
              </w:rPr>
              <w:t>Prospectus dated</w:t>
            </w:r>
          </w:p>
        </w:tc>
        <w:tc>
          <w:tcPr>
            <w:tcW w:w="2660" w:type="dxa"/>
            <w:vAlign w:val="bottom"/>
            <w:gridSpan w:val="2"/>
          </w:tcPr>
          <w:p>
            <w:pPr>
              <w:jc w:val="right"/>
              <w:ind w:right="1692"/>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80" w:type="dxa"/>
            <w:vAlign w:val="bottom"/>
            <w:gridSpan w:val="2"/>
          </w:tcPr>
          <w:p>
            <w:pPr>
              <w:ind w:left="4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660" w:type="dxa"/>
            <w:vAlign w:val="bottom"/>
            <w:gridSpan w:val="15"/>
            <w:vMerge w:val="restart"/>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About This Prospectus</w:t>
              </w:r>
            </w:hyperlink>
          </w:p>
        </w:tc>
        <w:tc>
          <w:tcPr>
            <w:tcW w:w="8980" w:type="dxa"/>
            <w:vAlign w:val="bottom"/>
            <w:gridSpan w:val="12"/>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1660" w:type="dxa"/>
            <w:vAlign w:val="bottom"/>
            <w:tcBorders>
              <w:bottom w:val="single" w:sz="8" w:color="0000EE"/>
            </w:tcBorders>
            <w:gridSpan w:val="15"/>
            <w:vMerge w:val="continue"/>
          </w:tcPr>
          <w:p>
            <w:pPr>
              <w:spacing w:after="0"/>
              <w:rPr>
                <w:sz w:val="13"/>
                <w:szCs w:val="13"/>
                <w:color w:val="auto"/>
              </w:rPr>
            </w:pPr>
          </w:p>
        </w:tc>
        <w:tc>
          <w:tcPr>
            <w:tcW w:w="8980" w:type="dxa"/>
            <w:vAlign w:val="bottom"/>
            <w:gridSpan w:val="12"/>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r>
        <w:trPr>
          <w:trHeight w:val="210"/>
        </w:trPr>
        <w:tc>
          <w:tcPr>
            <w:tcW w:w="15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Basis of Presentation</w:t>
              </w:r>
            </w:hyperlink>
          </w:p>
        </w:tc>
        <w:tc>
          <w:tcPr>
            <w:tcW w:w="9120" w:type="dxa"/>
            <w:vAlign w:val="bottom"/>
            <w:gridSpan w:val="14"/>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Market and Industry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Trademarks</w:t>
              </w:r>
            </w:hyperlink>
          </w:p>
        </w:tc>
        <w:tc>
          <w:tcPr>
            <w:tcW w:w="88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Summary Consolidated Financial and Other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71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Special Note Regarding Forward-Looking Statements</w:t>
              </w:r>
            </w:hyperlink>
          </w:p>
        </w:tc>
        <w:tc>
          <w:tcPr>
            <w:tcW w:w="67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Dividend Policy</w:t>
              </w:r>
            </w:hyperlink>
          </w:p>
        </w:tc>
        <w:tc>
          <w:tcPr>
            <w:tcW w:w="20" w:type="dxa"/>
            <w:vAlign w:val="bottom"/>
            <w:tcBorders>
              <w:top w:val="single" w:sz="8" w:color="0000EE"/>
            </w:tcBorders>
          </w:tcPr>
          <w:p>
            <w:pPr>
              <w:spacing w:after="0"/>
              <w:rPr>
                <w:sz w:val="17"/>
                <w:szCs w:val="17"/>
                <w:color w:val="auto"/>
              </w:rPr>
            </w:pPr>
          </w:p>
        </w:tc>
        <w:tc>
          <w:tcPr>
            <w:tcW w:w="944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Capitalization</w:t>
              </w:r>
            </w:hyperlink>
          </w:p>
        </w:tc>
        <w:tc>
          <w:tcPr>
            <w:tcW w:w="962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Dilution</w:t>
              </w:r>
            </w:hyperlink>
          </w:p>
        </w:tc>
        <w:tc>
          <w:tcPr>
            <w:tcW w:w="10040" w:type="dxa"/>
            <w:vAlign w:val="bottom"/>
            <w:gridSpan w:val="2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82">
              <w:r>
                <w:rPr>
                  <w:rFonts w:ascii="Arial" w:cs="Arial" w:eastAsia="Arial" w:hAnsi="Arial"/>
                  <w:sz w:val="18"/>
                  <w:szCs w:val="18"/>
                  <w:color w:val="0000EE"/>
                  <w:w w:val="84"/>
                </w:rPr>
                <w:t>Business</w:t>
              </w:r>
            </w:hyperlink>
          </w:p>
        </w:tc>
        <w:tc>
          <w:tcPr>
            <w:tcW w:w="100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Management</w:t>
              </w:r>
            </w:hyperlink>
          </w:p>
        </w:tc>
        <w:tc>
          <w:tcPr>
            <w:tcW w:w="97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Principal Shareholders</w:t>
              </w:r>
            </w:hyperlink>
          </w:p>
        </w:tc>
        <w:tc>
          <w:tcPr>
            <w:tcW w:w="900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Certain Relationships and Related Party Transactions</w:t>
              </w:r>
            </w:hyperlink>
          </w:p>
        </w:tc>
        <w:tc>
          <w:tcPr>
            <w:tcW w:w="68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14">
              <w:r>
                <w:rPr>
                  <w:rFonts w:ascii="Arial" w:cs="Arial" w:eastAsia="Arial" w:hAnsi="Arial"/>
                  <w:sz w:val="18"/>
                  <w:szCs w:val="18"/>
                  <w:color w:val="0000EE"/>
                  <w:w w:val="91"/>
                </w:rPr>
                <w:t>Description of Share Capital and Articles of Association</w:t>
              </w:r>
            </w:hyperlink>
          </w:p>
        </w:tc>
        <w:tc>
          <w:tcPr>
            <w:tcW w:w="65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Description of American Depositary Shares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22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Shares Eligible For Future Sale</w:t>
              </w:r>
            </w:hyperlink>
          </w:p>
        </w:tc>
        <w:tc>
          <w:tcPr>
            <w:tcW w:w="880" w:type="dxa"/>
            <w:vAlign w:val="bottom"/>
            <w:tcBorders>
              <w:top w:val="single" w:sz="8" w:color="0000EE"/>
            </w:tcBorders>
            <w:gridSpan w:val="2"/>
          </w:tcPr>
          <w:p>
            <w:pPr>
              <w:spacing w:after="0"/>
              <w:rPr>
                <w:sz w:val="17"/>
                <w:szCs w:val="17"/>
                <w:color w:val="auto"/>
              </w:rPr>
            </w:pPr>
          </w:p>
        </w:tc>
        <w:tc>
          <w:tcPr>
            <w:tcW w:w="75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Taxation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Expenses of the Offering</w:t>
              </w:r>
            </w:hyperlink>
          </w:p>
        </w:tc>
        <w:tc>
          <w:tcPr>
            <w:tcW w:w="884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Experts</w:t>
              </w:r>
            </w:hyperlink>
          </w:p>
        </w:tc>
        <w:tc>
          <w:tcPr>
            <w:tcW w:w="96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860" w:type="dxa"/>
            <w:vAlign w:val="bottom"/>
            <w:gridSpan w:val="1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142">
              <w:r>
                <w:rPr>
                  <w:rFonts w:ascii="Arial" w:cs="Arial" w:eastAsia="Arial" w:hAnsi="Arial"/>
                  <w:sz w:val="18"/>
                  <w:szCs w:val="18"/>
                  <w:color w:val="0000EE"/>
                  <w:w w:val="96"/>
                </w:rPr>
                <w:t>Enforceability of Civil Liabilities</w:t>
              </w:r>
            </w:hyperlink>
          </w:p>
        </w:tc>
        <w:tc>
          <w:tcPr>
            <w:tcW w:w="82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Where You Can Find 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Index to Consolidated Financial Statements</w:t>
              </w:r>
            </w:hyperlink>
          </w:p>
        </w:tc>
        <w:tc>
          <w:tcPr>
            <w:tcW w:w="100" w:type="dxa"/>
            <w:vAlign w:val="bottom"/>
            <w:tcBorders>
              <w:top w:val="single" w:sz="8" w:color="0000EE"/>
            </w:tcBorders>
          </w:tcPr>
          <w:p>
            <w:pPr>
              <w:spacing w:after="0"/>
              <w:rPr>
                <w:sz w:val="17"/>
                <w:szCs w:val="17"/>
                <w:color w:val="auto"/>
              </w:rPr>
            </w:pPr>
          </w:p>
        </w:tc>
        <w:tc>
          <w:tcPr>
            <w:tcW w:w="740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Neither we nor the underwriters have authorized anyone to provide any information or to make any representation other than those contained in this prospectus, any amendment or supplement to this prospectus or in any free writing prospectus prepared by us or on our behalf. Neither we nor the underwriters take any responsibility for, and neither we nor the underwriters can provide any assurance as to the reliability of, any information other than the information in this prospectus, any amendment or supplement to this prospectus and any free writing prospectus prepared by us or on our behalf. Neither the delivery of this prospectus nor the sale of our ADSs means that information contained in this prospectus is correct after the date of this prospectus. This prospectus is not an offer to sell or the solicitation of an offer to buy these ADSs in any circumstances under which such offer or solicitation is unlawful.</w:t>
      </w:r>
    </w:p>
    <w:p>
      <w:pPr>
        <w:spacing w:after="0" w:line="19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ADSs offered by this prospectus have not been approved or disapproved by the Israel Securities Authority (the “ISA”), nor have such ADSs been registered for sale in Israel. The ADSs may not be offered or sold, directly or indirectly, to the public in Israel, absent the publication of a prospectus that has been approved by the ISA.</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 investors outside the United States: Neither we nor any of the underwriters have taken any action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308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6"/>
          <w:szCs w:val="16"/>
          <w:b w:val="1"/>
          <w:bCs w:val="1"/>
          <w:color w:val="auto"/>
        </w:rPr>
        <w:t>, 2021 (the 25th day after the date of this prospectus), all dealers that effect transactions in the ADSs,</w:t>
      </w:r>
    </w:p>
    <w:p>
      <w:pPr>
        <w:spacing w:after="0" w:line="27"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in addition to the dealer’s obligation to deliver a prospectus when acting as underwriters and with respect to their unsold allotments or subscriptions.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used in this prospectus, except where the context otherwise requires or where otherwise indicated, references to “Tremor,” the “Company,” “we,” “us,” “our,” “our company,” “our business” and similar references refer to Tremor International Ltd., together with its consolidated subsidiaries as a consolidated entity.</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Our financial statements have been prepared in accordance with International Financial Reporting Standards (“IFRS”) as issued by the International Accounting Standards Board (the “IASB”). We present our consolidated financial statements in U.S. dollars. Effective January 1, 2020, we recognize revenue on a net basis for the Programmatic activity, which had been recognized on a gross basis historically, including for the year ended December 31, 2019. See “</w:t>
      </w:r>
      <w:r>
        <w:rPr>
          <w:rFonts w:ascii="Arial" w:cs="Arial" w:eastAsia="Arial" w:hAnsi="Arial"/>
          <w:sz w:val="17"/>
          <w:szCs w:val="17"/>
          <w:i w:val="1"/>
          <w:iCs w:val="1"/>
          <w:color w:val="auto"/>
        </w:rPr>
        <w:t>Management’s Discussion and Analysis of Financial Condition and Results of Operations—Critical Accounting Policies,</w:t>
      </w:r>
      <w:r>
        <w:rPr>
          <w:rFonts w:ascii="Arial" w:cs="Arial" w:eastAsia="Arial" w:hAnsi="Arial"/>
          <w:sz w:val="17"/>
          <w:szCs w:val="17"/>
          <w:color w:val="auto"/>
        </w:rPr>
        <w:t xml:space="preserve"> </w:t>
      </w:r>
      <w:r>
        <w:rPr>
          <w:rFonts w:ascii="Arial" w:cs="Arial" w:eastAsia="Arial" w:hAnsi="Arial"/>
          <w:sz w:val="17"/>
          <w:szCs w:val="17"/>
          <w:i w:val="1"/>
          <w:iCs w:val="1"/>
          <w:color w:val="auto"/>
        </w:rPr>
        <w:t>Judgments and Estimates—Revenue Recognition</w:t>
      </w:r>
      <w:r>
        <w:rPr>
          <w:rFonts w:ascii="Arial" w:cs="Arial" w:eastAsia="Arial" w:hAnsi="Arial"/>
          <w:sz w:val="17"/>
          <w:szCs w:val="17"/>
          <w:color w:val="auto"/>
        </w:rPr>
        <w:t>” for information regarding the revenue recognition presentation change.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fiscal year ends on December 31 of each year.</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Throughout this prospectus, we provide a number of key performance indicators used by our management and often used by others in our industry. These and other key performance indicators are discussed in more detail in the section entitled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Operations—Key Performance Indicators and Other Operating Metrics</w:t>
      </w:r>
      <w:r>
        <w:rPr>
          <w:rFonts w:ascii="Arial" w:cs="Arial" w:eastAsia="Arial" w:hAnsi="Arial"/>
          <w:sz w:val="18"/>
          <w:szCs w:val="18"/>
          <w:color w:val="auto"/>
        </w:rPr>
        <w:t>.” We define these key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indicators as follows:</w:t>
      </w:r>
    </w:p>
    <w:p>
      <w:pPr>
        <w:spacing w:after="0" w:line="92"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CTV revenue is revenue derived from Connected TV devices.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Video revenue is revenue derived from video format ads on all devices.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is defined as our revenue calculated on a net basis by excluding the media cost for both Programmatic and Performance activities.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is defined as total comprehensive income for the period adjusted for foreign currency translation differences for foreign operations, financing expenses, net, tax benefit, depreciation and amortization, stock-based compensation, restructuring and acquisition-related costs and other expenses (income), net.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margin is defined as Adjusted EBITDA as a percentage of net revenue.</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active customer is defined as an advertiser, agency, trading desk or third-party DSP that has used our platform within a trailing 365 day period.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active publisher is defined as a publisher or third-party SSP that has used our platform within a trailing 365 day period.</w:t>
      </w:r>
    </w:p>
    <w:p>
      <w:pPr>
        <w:spacing w:after="0" w:line="130" w:lineRule="exact"/>
        <w:rPr>
          <w:rFonts w:ascii="Arial" w:cs="Arial" w:eastAsia="Arial" w:hAnsi="Arial"/>
          <w:sz w:val="18"/>
          <w:szCs w:val="18"/>
          <w:color w:val="auto"/>
        </w:rPr>
      </w:pPr>
    </w:p>
    <w:p>
      <w:pPr>
        <w:jc w:val="both"/>
        <w:ind w:left="1080" w:right="20" w:hanging="532"/>
        <w:spacing w:after="0" w:line="29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unique user is defined as an unduplicated visitor to a publisher’s site connected to our platform from both direct and third-party sites in a one month period and “unique users” is the total number of unduplicated visitors to a publisher’s site connected to our platform from both direct and third-party sites in a one month period. When a user visits a publisher’s site that is connected to our platform, we receive the request along with a field that holds a unique ID number that identifies the source from which the request came, and as such “unique users” is a summation of unique ID numbers to produce a total of unduplicated visitors to publishers’ sites connected to our platform.</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0" w:hanging="532"/>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retention rate is defined as net revenue generated in the year ended December 31, 2020 from the customers who were existing customers as of December 31, 2019 as a percentage of the net revenue generated in the year ended December 31, 2019 from the same group of customers. We consider all of our revenue to be recurring.</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Unless otherwise indicated, information in this prospectus concerning economic conditions, our industry, our markets and our competitive position is based on a variety of sources, including information from independent industry analysts and publications, as well as our own estimates and research.</w:t>
      </w:r>
    </w:p>
    <w:p>
      <w:pPr>
        <w:spacing w:after="0" w:line="124"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Our estimates are derived from publicly available information released by third-party sources, as well as data from our internal research, which we believe to be reasonable. None of the independent industry publications used in this prospectus were prepared on our behalf.</w:t>
      </w:r>
    </w:p>
    <w:p>
      <w:pPr>
        <w:spacing w:after="0" w:line="146"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Certain estimates of market opportunity and forecasts of market growth included in this prospectus may prove to be inaccurate. The estimates and forecasts in this prospectus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prospectus, our business could fail to grow at similar rates, if at all.</w:t>
      </w:r>
    </w:p>
    <w:p>
      <w:pPr>
        <w:spacing w:after="0" w:line="17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Forecasts and other forward-looking information obtained from these sources are subject to the same qualifications and uncertainties as the other forward-looking statements in this prospectus. See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Special Note Regarding Forward-Looking Statements</w:t>
      </w:r>
      <w:r>
        <w:rPr>
          <w:rFonts w:ascii="Arial" w:cs="Arial" w:eastAsia="Arial" w:hAnsi="Arial"/>
          <w:sz w:val="17"/>
          <w:szCs w:val="17"/>
          <w:color w:val="auto"/>
        </w:rPr>
        <w:t>.”</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or our licensors have proprietary rights to trademarks, copyrights, trade names or service marks used in this prospectus that are important to our business, many of which are registered under the applicable intellectual property laws. Solely for convenience, the trademarks, trade names and service marks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or “</w:t>
      </w:r>
      <w:r>
        <w:rPr>
          <w:rFonts w:ascii="Arial" w:cs="Arial" w:eastAsia="Arial" w:hAnsi="Arial"/>
          <w:sz w:val="14"/>
          <w:szCs w:val="14"/>
          <w:color w:val="auto"/>
        </w:rPr>
        <w:t>™</w:t>
      </w:r>
      <w:r>
        <w:rPr>
          <w:rFonts w:ascii="Arial" w:cs="Arial" w:eastAsia="Arial" w:hAnsi="Arial"/>
          <w:sz w:val="17"/>
          <w:szCs w:val="17"/>
          <w:color w:val="auto"/>
        </w:rPr>
        <w:t>” symbols, but such references are not intended to indicate, in any way, that we will not assert, to the fullest extent possible under applicable law, our rights or the rights of the applicable licensor to these trademarks, trade names and service marks. This prospectus also contains trademarks, copyrights, tradenames and service marks of other companies, which are the property of their respective owners. We do not intend our use or display of other companies’ trademarks, copyrights, trade names or service marks to imply a relationship with, or endorsement or sponsorship of us by, any other companies. Each trademark, copyright, trade name or service mark of any other company appearing in this prospectus is the property of its respective holder.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93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2933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00" w:firstLine="426"/>
        <w:spacing w:after="0" w:line="296" w:lineRule="auto"/>
        <w:rPr>
          <w:sz w:val="20"/>
          <w:szCs w:val="20"/>
          <w:color w:val="auto"/>
        </w:rPr>
      </w:pPr>
      <w:r>
        <w:rPr>
          <w:rFonts w:ascii="Arial" w:cs="Arial" w:eastAsia="Arial" w:hAnsi="Arial"/>
          <w:sz w:val="16"/>
          <w:szCs w:val="16"/>
          <w:i w:val="1"/>
          <w:iCs w:val="1"/>
          <w:color w:val="auto"/>
        </w:rPr>
        <w:t>The following summary highlights selected information contained elsewhere in this prospectus. This summary does not contain all the information you should consider before investing in our ADSs. You should carefully read this prospectus in its entirety before investing in our ADSs, including the sections entitled “Risk Factors” and “Management’s Discussion and Analysis of Financial Condition and Results of Operations” and our consolidated financial statements and related notes included elsewhere in this prospectus. Some of the statements in this prospectus constitute forward-looking statements that involve risks and uncertainties. See “Special Note Regarding Forward-Looking Statements.”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auto"/>
        </w:rPr>
        <w:t>Our mission is to create an efficient automated marketplace for advertisers and publishers, utilizing advanced data driven technology, to enable the delivery of impactful brand stories to relevant audiences across the globe.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color w:val="auto"/>
        </w:rPr>
        <w:t>We are a global company offering an end-to-end software platform that enables advertisers to reach relevant audiences and publishers to maximize yield on their digital advertising inventory. We use our proprietary technology to deliver impactful brand stories to target audiences through digital ad technology and advanced audience data. Our omni-channel capabilities deliver global advertising campaigns across all formats and channels, with an expertise in video format ads on all devices (“Video”) and Connected TV (“CTV”).</w:t>
      </w:r>
    </w:p>
    <w:p>
      <w:pPr>
        <w:spacing w:after="0" w:line="171"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auto"/>
        </w:rPr>
        <w:t>We believe there is a significant market opportunity within the approximately $340 billion global digital advertising market that is expected to grow at a compound annual growth rate (“CAGR”) of 12.4% through 2024, according to eMarketer. Digital publishers rely on advertising to support their businesses and brands, and advertisers use this medium to capture uniquely targeted and viewable impressions. We believe the digital advertising market remains fragmented and that our full service end-to-end software platform and vast expertise within Video and CTV puts us in a strong position to continue to increase our market share from traditional ad sales channels.</w:t>
      </w:r>
    </w:p>
    <w:p>
      <w:pPr>
        <w:spacing w:after="0" w:line="176"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We believe that we are positioned to benefit from several trends in the evolving advertising ecosystem, including the proliferation of digital media consumption, adoption of programmatic advertising, a growing focus on premium formats such as Video and CTV, and the increasing sophistication of the overall digital landscape. We address the broad and evolving digital advertising market through our three core offerings, including a proprietary demand-side platform (“DSP”) solution that advertisers leverage to manage digital advertising campaigns, a proprietary supply-side platform (“SSP”) solution that publishers leverage to optimally monetize digital inventory and a proprietary data management platform (“DMP”) solution which is integrated with both our DSP and SSP solutions. Our versatile DMP solution benefits from vast amounts of data and provides optimal campaign recommendations for audience sets by employing advanced machine learning algorithms. The contextualization of the data synthesized by our DMP solution provides our advertisers with a comprehensive, personalized view of audiences, enabling more effective targeting across formats and devices and optimizes the monetization of publisher inventory. By combining these three proprietary solutions as well as integrations with industry leading partners, we provide an end-to-end software platform that is dynamic and flexible to our customers’ needs, which enables us to address more digital ad spend.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Our customers are both ad buyers, including brands and agencies, and digital publishers. Our platform includes a diversified customer base of approximately 900 active customers and 1,450 active publishers with approximately 800 million unique users for the month ended March 31, 2021, which serves advertisements in over 100 countries.</w:t>
      </w:r>
    </w:p>
    <w:p>
      <w:pPr>
        <w:spacing w:after="0" w:line="184"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generate revenue through platform fees that are tailored to fit the customer’s specific utilization of our solutions and include (i) a percentage of spend, (ii) flat fees and (iii) fixed costs per mille (“CPM”). CPM refers to a payment option in which customers pay a price for every 1,000 impressions an ad receives.</w:t>
      </w:r>
    </w:p>
    <w:p>
      <w:pPr>
        <w:spacing w:after="0" w:line="184" w:lineRule="exact"/>
        <w:rPr>
          <w:sz w:val="20"/>
          <w:szCs w:val="20"/>
          <w:color w:val="auto"/>
        </w:rPr>
      </w:pPr>
    </w:p>
    <w:p>
      <w:pPr>
        <w:jc w:val="both"/>
        <w:ind w:left="300" w:firstLine="426"/>
        <w:spacing w:after="0" w:line="290" w:lineRule="auto"/>
        <w:rPr>
          <w:sz w:val="20"/>
          <w:szCs w:val="20"/>
          <w:color w:val="auto"/>
        </w:rPr>
      </w:pPr>
      <w:r>
        <w:rPr>
          <w:rFonts w:ascii="Arial" w:cs="Arial" w:eastAsia="Arial" w:hAnsi="Arial"/>
          <w:sz w:val="16"/>
          <w:szCs w:val="16"/>
          <w:color w:val="auto"/>
        </w:rPr>
        <w:t>The majority of our revenue is generated in the United States. In the six months ended December 31, 2020, our CTV advertising gross revenue grew 144% from the six months ended June 30, 2020 and 137% from the six months ended December 31, 2019. In the year ended December 31, 2020, CTV advertising net revenue increased 164% year-over-year from the year ended December 31, 2019 on a comparable net basis. CTV net revenue comprised 21% of net revenue in the six months ended December 31, 2020, leading to net revenue growth of 104% compared to the six months ended June 30, 2020, and 37% from the six months ended December 31, 2019, and CTV net revenue comprised 20% of net revenue in the year ended December 31, 2020, representing a 12% growth year-over-year from the year ended December 31, 2019. We generated $184 million and $164 million in net revenue in the years ended December 31, 2020 and 2019, respectively, representing 12% growth year-over-year, partially due to an the impact of the COVID-19 pandemic for the six months ended June 30, 2020.</w:t>
      </w:r>
    </w:p>
    <w:p>
      <w:pPr>
        <w:spacing w:after="0" w:line="165" w:lineRule="exact"/>
        <w:rPr>
          <w:sz w:val="20"/>
          <w:szCs w:val="20"/>
          <w:color w:val="auto"/>
        </w:rPr>
      </w:pPr>
    </w:p>
    <w:p>
      <w:pPr>
        <w:jc w:val="both"/>
        <w:ind w:left="300" w:firstLine="426"/>
        <w:spacing w:after="0" w:line="272" w:lineRule="auto"/>
        <w:rPr>
          <w:sz w:val="20"/>
          <w:szCs w:val="20"/>
          <w:color w:val="auto"/>
        </w:rPr>
      </w:pPr>
      <w:r>
        <w:rPr>
          <w:rFonts w:ascii="Arial" w:cs="Arial" w:eastAsia="Arial" w:hAnsi="Arial"/>
          <w:sz w:val="17"/>
          <w:szCs w:val="17"/>
          <w:color w:val="auto"/>
        </w:rPr>
        <w:t>Our total comprehensive income for the six months ended December 31, 2020 increased $62.3 million from the equivalent figure for the six months ended June 30, 2020 and represented a 211% year-over-year increase as compared to our total comprehensive income for the six months ended December 31, 2019. We generated $5.0 million and $6.3 million in total comprehensive income in the years ended December 31, 2020 and 2019, respectively. Our Adjusted EBITDA for the six months ended December 31, 2020 increased approximately 32 times from the equivalent figure for the six months ended June 30, 2020 and represented a 51% year-over-year increase as compared to our Adjusted EBITDA for the six months ended December 31, 2019. Additionally, we generated $60.5 million and $60.4 million in Adjusted EBITDA in the years ended December 31, 2020 and 2019, respectively, resulting in a cash position of $97 million as of December 31, 2020.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operate in the digital advertising industry, which is a core pillar of monetizing digital properties accessible by the Internet. We specialize in digital video advertising, which collectively comprises 78% of our net revenue for the year ended December 31, 2020, across mobile video, desktop video and CTV.</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the key industry trends shaping the digital advertising market include:</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Continued Growth of Digital Media Consumption</w:t>
      </w:r>
    </w:p>
    <w:p>
      <w:pPr>
        <w:spacing w:after="0" w:line="117" w:lineRule="exact"/>
        <w:rPr>
          <w:sz w:val="20"/>
          <w:szCs w:val="20"/>
          <w:color w:val="auto"/>
        </w:rPr>
      </w:pPr>
    </w:p>
    <w:p>
      <w:pPr>
        <w:jc w:val="both"/>
        <w:ind w:left="300" w:firstLine="426"/>
        <w:spacing w:after="0" w:line="272" w:lineRule="auto"/>
        <w:rPr>
          <w:sz w:val="20"/>
          <w:szCs w:val="20"/>
          <w:color w:val="auto"/>
        </w:rPr>
      </w:pPr>
      <w:r>
        <w:rPr>
          <w:rFonts w:ascii="Arial" w:cs="Arial" w:eastAsia="Arial" w:hAnsi="Arial"/>
          <w:sz w:val="17"/>
          <w:szCs w:val="17"/>
          <w:color w:val="auto"/>
        </w:rPr>
        <w:t>Audiences continue to spend an increasing amount of time online for social, business and purchasing needs. We believe that the COVID-19 pandemic and the subsequent work-from-home and shelter-in-place orders accelerated the adoption of numerous traditionally offline activities to be conducted online, including telehealth, fitness classes, food delivery and e-commerce. As consumers continue to spend more time online for everyday activities, we believe that brands and advertisers will increasingly allocate ad budgets to where the audiences are. According to eMarketer, more than a third of the day is expected to be spent on digital media consumption by 2022. This mass of digital consumption is happening across all devices, including mobile, desktop, tablet and CTV. These trends will further increase both the supply and demand of available ad impressions that can be monetized programmatically.</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Shift to Programmatic Advertising</w:t>
      </w:r>
    </w:p>
    <w:p>
      <w:pPr>
        <w:spacing w:after="0" w:line="117" w:lineRule="exact"/>
        <w:rPr>
          <w:sz w:val="20"/>
          <w:szCs w:val="20"/>
          <w:color w:val="auto"/>
        </w:rPr>
      </w:pPr>
    </w:p>
    <w:p>
      <w:pPr>
        <w:jc w:val="both"/>
        <w:ind w:left="300" w:firstLine="426"/>
        <w:spacing w:after="0" w:line="273" w:lineRule="auto"/>
        <w:rPr>
          <w:sz w:val="20"/>
          <w:szCs w:val="20"/>
          <w:color w:val="auto"/>
        </w:rPr>
      </w:pPr>
      <w:r>
        <w:rPr>
          <w:rFonts w:ascii="Arial" w:cs="Arial" w:eastAsia="Arial" w:hAnsi="Arial"/>
          <w:sz w:val="17"/>
          <w:szCs w:val="17"/>
          <w:color w:val="auto"/>
        </w:rPr>
        <w:t>Programmatic advertising is the use of software and algorithms to match buyers and sellers of digital advertising in a technology-driven marketplace. The transactions are executed in milliseconds and do not require the manual labor of execution. It is becoming increasingly prominent in the digital advertising industry, as publishers and advertisers prefer that their bids/asks for digital ad inventory be completed in an easy, efficient, and automated manner. Additional advantages of programmatic advertising include enhanced audience targeting, attribution, measurement as well as improved customized campaign management workflow solutions. According to eMarketer, programmatic advertising is expected to increase from $106 billion in 2019 to $147 billion by 2021, at a CAGR of 18%.</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Data Driven Decision Making</w:t>
      </w:r>
    </w:p>
    <w:p>
      <w:pPr>
        <w:spacing w:after="0" w:line="117"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auto"/>
        </w:rPr>
        <w:t>As the digital media industry grows, increased consumer engagement by audiences has created vast amounts of data and behavioral insights that can be harnessed to maximize return on investment (“ROI”) for advertisers and optimize the monetization of digital inventory for publishers. These insights include industry compliant anonymized data sets relating to consumer interests, preferences and intent, as well as auction data of advertising bid requests. Technology solutions must efficiently and effectively digest, analyze and process an ever increasing amount of data seamlessly while navigating the increased requirements of regulatory challenges and audience protection.</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Consumer Privacy and Regulatory Concerns</w:t>
      </w:r>
    </w:p>
    <w:p>
      <w:pPr>
        <w:spacing w:after="0" w:line="117"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color w:val="auto"/>
        </w:rPr>
        <w:t>Over the last few years, there has been increased scrutiny concerning consumer data and the ways in which that data is being used in connection with ad targeting. Globally and locally, new legislation has been introduced and enforced that requires new industry rules and standards. Some of these regulations include the General Data Protection Regulation (“GDPR”), the California Consumer Privacy Act of 2018 (“CCPA”) and the forthcoming California Privacy Rights Act (the “CPRA”), and Apple’s Identifier for Advertisers (“IDFA”). Additionally, web browsers such as Safari and Firefox have also removed third-party cookies. These rules and regulations require all constituents within digital advertising to consistently adapt and evolve.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8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auto"/>
        </w:rPr>
        <w:t>We believe that we are well positioned to capture the fastest growing and next wave of digital advertising, such as Video, including CTV, which reflects 78% of our net revenue for the year ended December 31, 2020.</w:t>
      </w:r>
    </w:p>
    <w:p>
      <w:pPr>
        <w:spacing w:after="0" w:line="170"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color w:val="auto"/>
        </w:rPr>
        <w:t>Global digital advertising spend is forecast to be $455 billion in 2021 and is expected to grow 11.4% per year to $700 billion by 2025, according to eMarketer. As advertisers follow audiences to next-generation mediums, digital advertising channels are expected to outpace growth of total global media ad spend. The increased Internet bandwidth in developing countries is acting as an additional tailwind, and the increasing proliferation of next-generation cellular technology in developed countries is driving video viewership. We believe these trends will amplify full-screen video usage, which has long been the preferred choice of advertisers. We expect these long-term, systemic shifts will enable us to grow at a faster rate compared to the broader digital advertising market.</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Global Digital Advertising Spending</w:t>
      </w:r>
      <w:r>
        <w:rPr>
          <w:rFonts w:ascii="Arial" w:cs="Arial" w:eastAsia="Arial" w:hAnsi="Arial"/>
          <w:sz w:val="15"/>
          <w:szCs w:val="15"/>
          <w:b w:val="1"/>
          <w:bCs w:val="1"/>
          <w:color w:val="auto"/>
        </w:rPr>
        <w:t>1</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(US$ bn)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Digital Video and CTV Advertising</w:t>
      </w:r>
    </w:p>
    <w:p>
      <w:pPr>
        <w:spacing w:after="0" w:line="117"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auto"/>
        </w:rPr>
        <w:t>We are addressing the fastest growing areas within digital advertising, Video and CTV, which are expected to grow at an accelerated rate compared to other formats. In the United States, where the majority of our revenue is generated, the growth rates and adoption of Video and CTV are expected to be even higher. According to eMarketer, U.S. CTV ad spend is projected to grow at a CAGR of 19.6% from 2021 to 2025, reaching $27.5 billion. U.S. Video ad spend is projected to grow at a CAGR of 15.5% from 2021 to 2025, reaching $98.5 billion. Additionally, the number of digital video viewers worldwide is expected to reach 3.47 billion people by 2024.</w:t>
      </w:r>
    </w:p>
    <w:p>
      <w:pPr>
        <w:spacing w:after="0" w:line="176"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Linear TV budgets are also shifting towards digital video and CTV, further driving demand for these premium ad formats. These overarching market trends underpin our strategic shift to focus on these segments of digital advertising, which given the proliferation of smart TVs and the increasing number of streaming providers, will remain an exciting growth segment.</w:t>
      </w:r>
    </w:p>
    <w:p>
      <w:pPr>
        <w:spacing w:after="0" w:line="157" w:lineRule="exact"/>
        <w:rPr>
          <w:sz w:val="20"/>
          <w:szCs w:val="20"/>
          <w:color w:val="auto"/>
        </w:rPr>
      </w:pPr>
    </w:p>
    <w:p>
      <w:pPr>
        <w:ind w:left="720" w:hanging="422"/>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8"/>
          <w:szCs w:val="18"/>
          <w:color w:val="auto"/>
        </w:rPr>
        <w:t>eMarketer, March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Mobile Advertising</w:t>
      </w:r>
    </w:p>
    <w:p>
      <w:pPr>
        <w:spacing w:after="0" w:line="117"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The number of consumers with smart phones and high speed internet quality are expected to continue rising, which will make mobile advertising a prominent channel within digital. According to eMarketer, U.S. mobile ad spend is projected to grow at a CAGR of 12.4% from 2021 to 2025, reaching $208 billion.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Role in the Digital Advertising Ecosystem</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Advertisers and Agencies</w:t>
      </w:r>
    </w:p>
    <w:p>
      <w:pPr>
        <w:spacing w:after="0" w:line="117"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Spending begins with advertisers, who often engage advertising agencies to help plan and execute their advertising campaigns. To better control and optimize their advertising operations, advertisers and agencies are consolidating spend with fewer, larger technology platform providers who can deliver transparency and ensure the highest level of inventory quality and control. These advertisers and agencies access our platform through Tremor Video and third-party DSPs. We believe our end-to-end technology platform and direct relationships with advertisers and agencies will lead to significant consolidation of spend onto our platform.</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Demand Side Platforms (“DSP”)</w:t>
      </w:r>
    </w:p>
    <w:p>
      <w:pPr>
        <w:spacing w:after="0" w:line="117"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Advertisers and agencies often engage DSPs, which serve as advertising demand aggregators, to execute their digital marketing campaigns across various ad formats. We offer both full-service and self-managed options through our DSP, enabling highly customized and robust campaigns. We are also integrated with the leading DSPs globally, such as The Trade Desk and Google DV360, enabling customers to execute real-time transactions with our publisher clients.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Supply Side Platforms (“SSP”)</w:t>
      </w:r>
    </w:p>
    <w:p>
      <w:pPr>
        <w:spacing w:after="0" w:line="117" w:lineRule="exact"/>
        <w:rPr>
          <w:sz w:val="20"/>
          <w:szCs w:val="20"/>
          <w:color w:val="auto"/>
        </w:rPr>
      </w:pPr>
    </w:p>
    <w:p>
      <w:pPr>
        <w:jc w:val="both"/>
        <w:ind w:left="300" w:firstLine="426"/>
        <w:spacing w:after="0" w:line="254" w:lineRule="auto"/>
        <w:rPr>
          <w:sz w:val="20"/>
          <w:szCs w:val="20"/>
          <w:color w:val="auto"/>
        </w:rPr>
      </w:pPr>
      <w:r>
        <w:rPr>
          <w:rFonts w:ascii="Arial" w:cs="Arial" w:eastAsia="Arial" w:hAnsi="Arial"/>
          <w:sz w:val="18"/>
          <w:szCs w:val="18"/>
          <w:color w:val="auto"/>
        </w:rPr>
        <w:t>SSPs such as ours are designed to monetize digital inventory for publishers and app developers by enabling their content to have the necessary software code and requirements for programmatic integration. Buyers and sellers come together through our marketplace to monetize, target, and purchase available digital advertising inventory. Our platform rapidly and efficiently processes significant volumes of advertising bid information, providing a seamless digital experience for our customers. Traditionally, SSPs have focused exclusively on the needs of sellers in this process and have limited their interactions with buyers to the buyer’s agent, the DSP. As buyers have sought greater control of their advertising supply chains, we have extended the capabilities of our specialized software platform over the last several years to serve the needs of advertisers and agencies.</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Publishers and Content Providers</w:t>
      </w:r>
    </w:p>
    <w:p>
      <w:pPr>
        <w:spacing w:after="0" w:line="117" w:lineRule="exact"/>
        <w:rPr>
          <w:sz w:val="20"/>
          <w:szCs w:val="20"/>
          <w:color w:val="auto"/>
        </w:rPr>
      </w:pPr>
    </w:p>
    <w:p>
      <w:pPr>
        <w:jc w:val="both"/>
        <w:ind w:left="300" w:firstLine="426"/>
        <w:spacing w:after="0" w:line="272" w:lineRule="auto"/>
        <w:rPr>
          <w:sz w:val="20"/>
          <w:szCs w:val="20"/>
          <w:color w:val="auto"/>
        </w:rPr>
      </w:pPr>
      <w:r>
        <w:rPr>
          <w:rFonts w:ascii="Arial" w:cs="Arial" w:eastAsia="Arial" w:hAnsi="Arial"/>
          <w:sz w:val="17"/>
          <w:szCs w:val="17"/>
          <w:color w:val="auto"/>
        </w:rPr>
        <w:t>Digital publishers and app developers create websites, digital content and applications that contain content/mediums for consumption for users, along with adjacent viewable space for digital advertisements. As consumers navigate these websites and apps, individual ad impressions are presented to them across different formats/channels. These impressions are typically sold to advertisers and agencies programmatically, in real-time via a third-party technology infrastructure platform or SSP solution. Publishers and app developers rely on advertising revenue as the key driver for their businesses and depend on the capabilities of these third parties in order to achieve optimal yield for their advertising inventory. As of December 31, 2020, we served approximately 1,450 active publishers worldwide on our platform, consisting of 21,000 active sites and apps that we have direct access to publish an ad for our customers.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the following attributes and capabilities provide us with long-term competitive advantages: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Established Expertise in Video and CTV</w:t>
      </w:r>
    </w:p>
    <w:p>
      <w:pPr>
        <w:spacing w:after="0" w:line="117"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We believe Video, including CTV and mobile video are the fastest growing segments of digital advertising, and they constitute 78% of our total net revenue for the year ended December 31, 2020 (83% for the three months ended December 31, 2020) and 89% of our revenue without mobile-based performance activity for the year ended December 31, 2020 (91% for the three months ended December 31, 2020). We were one of the first movers in the digital video advertising and CTV markets, giving us early traction and recognition as a leader in the space. Our platform was intentionally built as an end-to-end video campaign delivery solution.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End-to-End Platform with Proprietary Technology</w:t>
      </w:r>
    </w:p>
    <w:p>
      <w:pPr>
        <w:spacing w:after="0" w:line="117"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color w:val="auto"/>
        </w:rPr>
        <w:t>We leverage our advanced technology stack to enable advertisers and publishers to maximize their ROI, while optimizing the path between audiences and brands by leveraging our proprietary data sets. We believe we have a competitive advantage by overseeing the entire ecosystem through our proprietary data, unique demand and supply sources and access to premium vendors. As a technology first solution, we have the flexibility of an agnostic platform capable of integrating with different third-party sources to service our customers.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Scale and Reach on the Audience, Advertiser and Publisher</w:t>
      </w:r>
    </w:p>
    <w:p>
      <w:pPr>
        <w:spacing w:after="0" w:line="117"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auto"/>
        </w:rPr>
        <w:t>Our platform currently accommodates over 100 billion daily ad requests, approximately 500 terabytes of daily data, approximately 250 million daily ad impressions and more than 100 million daily unique sites or apps. This gives us scale with publishers and provides access to direct and exclusive supply of premium advertising inventory, which allows for our advertising customers to avoid intermediaries and reduce costs. Operating an end-to-end platform enables us to minimize the loss of scale typically seen when two independent platforms are user-syncing with each other. This helps us maintain high scalability on buying strategies leveraging audience targeting.</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Robust Data Set Fully Integrated Into and Generated by Our Platform</w:t>
      </w:r>
    </w:p>
    <w:p>
      <w:pPr>
        <w:spacing w:after="0" w:line="117"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color w:val="auto"/>
        </w:rPr>
        <w:t>Our proprietary DMP is a flexible platform that can be easily integrated across various campaigns and formats. Our DMP leverages first-party data and third-party partnerships to identify and reach curated audiences, benefiting both our advertising and publisher customers. Our platform provides artificial intelligence in the form of machine learning algorithms and statistical models to aggregate and analyze vast amounts of data and contextualizes it into easily usable action items, which can be used across campaigns in real-time.</w:t>
      </w:r>
    </w:p>
    <w:p>
      <w:pPr>
        <w:spacing w:after="0" w:line="171"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color w:val="auto"/>
        </w:rPr>
        <w:t>Our machine learning algorithms enable us to process millions of requests per second which supports several of the optimization and prediction models in our platform including invalid traffic monitoring, viewability, queries per second, bidding and pricing models. These machine learning capabilities help our customers achieve their key performance indicators, optimize cost of media and protect against invalid traffic. Additionally, our DMP utilizes machine learning algorithms to build and expand segments in real time.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Management Team of Industry Veterans with Extensive Expertise</w:t>
      </w:r>
    </w:p>
    <w:p>
      <w:pPr>
        <w:spacing w:after="0" w:line="117"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Our senior management has an extensive background in the advertising technology industry, which we believe gives us a competitive advantage. We have vast experience in acquiring synergistic businesses and a strong track record of integrating successful acquisitions, further driving growth and profitability.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Profitable Business Model</w:t>
      </w:r>
    </w:p>
    <w:p>
      <w:pPr>
        <w:spacing w:after="0" w:line="117"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have been Adjusted EBITDA profitable since 2014 and continue to improve our cost structure. As of the year ended December 31, 2020, our net profit margin was 2% and our Adjusted EBITDA margin was 33%. Our structural cost advantages enable us to continuously invest in driving innovation, while delivering both top line revenue growth and profitability.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believe that programmatic advertising is still an underpenetrated market that will experience robust growth over the next decade as ad budgets continue to shift to digital and digital continues to shift towards programmatic execution. We intend to capitalize on these secular trends by pursuing growth opportunities that include: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Focus on Core Areas of Growth in Video and CTV</w:t>
      </w:r>
    </w:p>
    <w:p>
      <w:pPr>
        <w:spacing w:after="0" w:line="117"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CTV is the fastest growth format within digital advertising, and this trend is expected to continue over the next several years according to eMarketer. In the United States, CTV ad spend is expected to grow at a CAGR of 22.5% from 2020 to 2024, and Video is expected to grow at a CAGR of 18.1%, reaching $69.3 billion by 2024. Digital video and CTV comprise 79% of our revenue without mobile-based performance activity for the year ended December 31, 2020, and has been a core focus for us since inception. We plan to leverage our existing expertise in Video and CTV to increase our market share and introduce new technologies and solutions.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Introduce New Products and Invest in our Technology Stack</w:t>
      </w:r>
    </w:p>
    <w:p>
      <w:pPr>
        <w:spacing w:after="0" w:line="117"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color w:val="auto"/>
        </w:rPr>
        <w:t>As we grow our market share and add new customers, we continue to invest in our technology stack and develop new innovative products. We are continuously trying to introduce new innovative solutions and products to the rapidly evolving digital advertising market. Some potential areas of growth and investment include enhancing our proprietary data sets, enhancing our CTV solution capabilities and marketplace, audience targeting, expanding our alternative identifier solutions and enhancing our global platform coverage capabilities.</w:t>
      </w:r>
    </w:p>
    <w:p>
      <w:pPr>
        <w:spacing w:after="0" w:line="171"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We are providing customers with creative alternatives to plan and execute their campaigns giving them complimentary scale and opportunities to enhance current audience targeting strategies. For example, we offer, and will continue to enhance, contextual targeting solutions from content data collected via our publisher partnerships as well as third-party solutions integrated into our ecosystem.</w:t>
      </w:r>
    </w:p>
    <w:p>
      <w:pPr>
        <w:spacing w:after="0" w:line="165"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auto"/>
        </w:rPr>
        <w:t>There is market movement away from cookie-based tracking which has created an increase in demand for alternate solutions. We have partnerships, and are integrating, with major alternative identifier solutions such as IdentityLink and Unified ID 2.0. We are committed to helping define and support new privacy requirements and identifier mechanisms as the industry standards evolve. We believe that not everyone in the industry will adopt a single solution alternative to cookie-based tracking and we are building our platform to support various identifier solutions.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Strengthen Our Relationship with Existing Customers</w:t>
      </w:r>
    </w:p>
    <w:p>
      <w:pPr>
        <w:spacing w:after="0" w:line="117"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We are constantly improving functionality on our platform to attract new customers and encourage our existing customer base to allocate more of their ad spend and ad inventory to our platform. We believe as programmatic gains more widespread adoption and brands and publishers continue to focus on Video and CTV, we are strongly positioned to increase our customer base and generate additional revenue from existing customers.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International Footprint and United States Market Share</w:t>
      </w:r>
    </w:p>
    <w:p>
      <w:pPr>
        <w:spacing w:after="0" w:line="117"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We continue to acquire new publishers and advertisers globally and invest in expanding our global footprint, providing significant global demand and supply of digital ad impressions across all channels and formats. We will continue to invest in third-party integrations, maintaining and enhancing our platform’s flexibility. We are leveraging our existing technology stack to provide innovative solutions to new and existing customers regardless of location or platform. We consistently innovate and develop new tools and products that enable our customers to maximize their benefit from using our platform and services.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Continue to Bolster our Data Capabilities</w:t>
      </w:r>
    </w:p>
    <w:p>
      <w:pPr>
        <w:spacing w:after="0" w:line="117"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auto"/>
        </w:rPr>
        <w:t>We leverage real-time data, artificial intelligence and machine learning capabilities to synthesize, aggregate and contextualize vast amounts of data sets to help our advertisers and publishers optimize their digital ad spend/inventory. Our DMP solution was architected to be flexible, which allows us to deliver impactful and unique insights that are agnostic to format or device type. By owning our own proprietary DMP solution, we are able to provide robust analytics, insights, and better segmentation on a global basis. We believe this gives us a large competitive advantage and enables higher ROI to our advertisers and optimal yield on digital inventory to our publishers.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Leverage our Industry Expertise and Target Select Acquisitions</w:t>
      </w:r>
    </w:p>
    <w:p>
      <w:pPr>
        <w:spacing w:after="0" w:line="11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We have been successful in past acquisitions and may direct our industry experience and focus to identify future complementary acquisitions to further broaden our scale and technology solutions. To the extent we identify attractive acquisition opportunities, we have the experience, leadership and track record to successfully execute strategic transactions and integrate acquired businesses into our platform.</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Our end-to-end platform is a comprehensive software suite that supports a wide range of media types (e.g., Video, display, etc.) and devices (e.g., mobile, CTVs, streaming devices, desktop, etc.), creating an efficient marketplace where advertisers are able to purchase high quality advertising inventory from publishers at scale. Our solutions offer many advantages, including an advanced real-time bidding auction optimization engine, a quality and global marketplace, and flexibility to enact concurrent campaign strategies that drives strong returns for investments in digital ad real estate.</w:t>
      </w:r>
    </w:p>
    <w:p>
      <w:pPr>
        <w:spacing w:after="0" w:line="188"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Our platform handles over 100 billion daily ad requests, approximately 500 terabytes of daily data and approximately 250 million daily ad impressions. Each transaction is processed in a fraction of a second (55ms on average) and powered by our real-time bidding engine, which leverages thousands of private servers and infrastructure in three strategically located data centers located in the United States, Europe and Asia Pacific.</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Components of our platform include:</w:t>
      </w:r>
    </w:p>
    <w:p>
      <w:pPr>
        <w:spacing w:after="0" w:line="131" w:lineRule="exact"/>
        <w:rPr>
          <w:sz w:val="20"/>
          <w:szCs w:val="20"/>
          <w:color w:val="auto"/>
        </w:rPr>
      </w:pPr>
    </w:p>
    <w:p>
      <w:pPr>
        <w:jc w:val="both"/>
        <w:ind w:left="1240" w:hanging="523"/>
        <w:spacing w:after="0" w:line="279"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Demand Side Platform – We offer a self-service DSP solution for advertisers and their agencies to efficiently and intuitively manage omni-channel campaigns. We also offer a full-service option to agencies in addition to our self-service DSP solution. Our DSP solution provides access to wide reaching and high quality inventory, audience targeting and advanced reporting to optimize advertising campaigns, improve ROI and gain deep insights and analytics into brand engagement.</w:t>
      </w:r>
    </w:p>
    <w:p>
      <w:pPr>
        <w:spacing w:after="0" w:line="76" w:lineRule="exact"/>
        <w:rPr>
          <w:rFonts w:ascii="Arial" w:cs="Arial" w:eastAsia="Arial" w:hAnsi="Arial"/>
          <w:sz w:val="17"/>
          <w:szCs w:val="17"/>
          <w:color w:val="auto"/>
        </w:rPr>
      </w:pPr>
    </w:p>
    <w:p>
      <w:pPr>
        <w:jc w:val="both"/>
        <w:ind w:left="1240" w:right="20" w:hanging="523"/>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Management Platform – We offer a fully integrated DMP solution that sits at the center of our platform that unlocks the power of data flowing through our DSP and SSP solutions. Our DMP enables advertisers and publishers to use data from various sources in order to optimize results of their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spacing w:after="0" w:line="311" w:lineRule="auto"/>
        <w:rPr>
          <w:sz w:val="20"/>
          <w:szCs w:val="20"/>
          <w:color w:val="auto"/>
        </w:rPr>
      </w:pPr>
      <w:r>
        <w:rPr>
          <w:rFonts w:ascii="Arial" w:cs="Arial" w:eastAsia="Arial" w:hAnsi="Arial"/>
          <w:sz w:val="16"/>
          <w:szCs w:val="16"/>
          <w:color w:val="auto"/>
        </w:rPr>
        <w:t>advertising campaigns. Our DMP provides insights and recommendations pertaining to geographic, behavioral and demographic data, among others in one unified solution. We believe an integrated DMP is a key component to the marketplace because it enables advertisers and publishers to use and activate data to target audiences with more accuracy across a number of different channels.</w:t>
      </w:r>
    </w:p>
    <w:p>
      <w:pPr>
        <w:spacing w:after="0" w:line="54" w:lineRule="exact"/>
        <w:rPr>
          <w:sz w:val="20"/>
          <w:szCs w:val="20"/>
          <w:color w:val="auto"/>
        </w:rPr>
      </w:pPr>
    </w:p>
    <w:p>
      <w:pPr>
        <w:jc w:val="both"/>
        <w:ind w:left="1240" w:hanging="523"/>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Side Platform – We offer a self-service SSP solution for digital publishers to sell their online ad placements via a real-time bidding auction across all screens including mobile, CTVs, streaming devices and desktops. Our SSP provides access to significant amounts of data, unique demand and a comprehensive product suite to drive more effective inventory management and revenue optimization.</w:t>
      </w:r>
    </w:p>
    <w:p>
      <w:pPr>
        <w:spacing w:after="0" w:line="92"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Analytics/Artificial Intelligence – We collect, synthesize and analyze the data sets across our platform through extensive artificial intelligence technologies and advanced machine learning capabilities. These recommendations ultimately provide key insights into valuable ad impressions and forecasts for auction behavior. We believe these technologies drive optimal results for our advertisers and publishers.</w:t>
      </w: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Investing in our ADSs involves substantial risks, and our ability to successfully operate our business and execute our growth plan is subject to numerous risks. You should carefully consider the risks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before making a decision to invest in our ADSs. If any of these risks actually occurs, our business, financial condition or results of operations could be materially and adversely affected. In such case, the trading price of our ADSs would likely decline, and you may lose all or part of your investment. The following is a summary of some of the principal risks we face:</w:t>
      </w:r>
    </w:p>
    <w:p>
      <w:pPr>
        <w:spacing w:after="0" w:line="93" w:lineRule="exact"/>
        <w:rPr>
          <w:sz w:val="20"/>
          <w:szCs w:val="20"/>
          <w:color w:val="auto"/>
        </w:rPr>
      </w:pPr>
    </w:p>
    <w:p>
      <w:pPr>
        <w:jc w:val="both"/>
        <w:ind w:left="1240" w:hanging="523"/>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success and revenue growth is dependent on adding new advertisers and publishers, effectively educating and training our existing advertisers and publishers on how to make full use of our platform and increasing usage of our platform by advertisers and publishers;</w:t>
      </w:r>
    </w:p>
    <w:p>
      <w:pPr>
        <w:spacing w:after="0" w:line="29" w:lineRule="exact"/>
        <w:rPr>
          <w:rFonts w:ascii="Arial" w:cs="Arial" w:eastAsia="Arial" w:hAnsi="Arial"/>
          <w:sz w:val="16"/>
          <w:szCs w:val="16"/>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depends on our ability to maintain and expand access to advertising spend, including spend from a limited number of DSPs, agencies and advertisers;</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depends on our ability to maintain and expand access to valuable inventory from publishers, including our largest publishers;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attract and retain advertisers and publishers if we may fail to make the right investment decisions in our platform, or innovate and develop new solutions that are adopted by advertisers and publishers;</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significant parts of our business depend on relationships with data providers for data sets used to deliver targeted campaigns;</w:t>
      </w:r>
    </w:p>
    <w:p>
      <w:pPr>
        <w:spacing w:after="0" w:line="142" w:lineRule="exact"/>
        <w:rPr>
          <w:rFonts w:ascii="Arial" w:cs="Arial" w:eastAsia="Arial" w:hAnsi="Arial"/>
          <w:sz w:val="17"/>
          <w:szCs w:val="17"/>
          <w:color w:val="auto"/>
        </w:rPr>
      </w:pPr>
    </w:p>
    <w:p>
      <w:pPr>
        <w:ind w:left="1240" w:right="20" w:hanging="523"/>
        <w:spacing w:after="0" w:line="308"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depends on our ability to collect, use and disclose certain data, including CTV data, to deliver advertisements. Any limitation imposed on our collection, use or disclosure of this data could significantly diminish the value of our platform;</w:t>
      </w:r>
    </w:p>
    <w:p>
      <w:pPr>
        <w:spacing w:after="0" w:line="51" w:lineRule="exact"/>
        <w:rPr>
          <w:rFonts w:ascii="Arial" w:cs="Arial" w:eastAsia="Arial" w:hAnsi="Arial"/>
          <w:sz w:val="17"/>
          <w:szCs w:val="17"/>
          <w:color w:val="auto"/>
        </w:rPr>
      </w:pPr>
    </w:p>
    <w:p>
      <w:pPr>
        <w:ind w:left="124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use of third-party “cookies,” mobile device IDs, CTV data collection or other tracking technologies is restricted without similar or better alternatives (and adoption of such alternatives), our platform’s effectiveness could be diminished;</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meet content and inventory standards and provide services that our advertisers and publishers trust could harm our brand and reputation;</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must grow rapidly to remain a market leader and to accomplish our strategic objective;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for programmatic buying for advertising campaigns is relatively new and evolving;</w:t>
      </w:r>
    </w:p>
    <w:p>
      <w:pPr>
        <w:spacing w:after="0" w:line="130"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rejection of digital advertising by consumers through opt-in, opt-out or ad-blocking technologies or other means could limit the effectiveness of our platform;</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process inventory is dependent on our ability to scale our platform infrastructure to support anticipated growth and transaction volume;</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to service from our third-party data center hosting facilities and cloud computing and hosting providers could impair the delivery of our services;</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face potential liability and harm to our business based on the human factor of inputting information into our platform; and</w:t>
      </w:r>
    </w:p>
    <w:p>
      <w:pPr>
        <w:spacing w:after="0" w:line="142" w:lineRule="exact"/>
        <w:rPr>
          <w:rFonts w:ascii="Arial" w:cs="Arial" w:eastAsia="Arial" w:hAnsi="Arial"/>
          <w:sz w:val="17"/>
          <w:szCs w:val="17"/>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protect our intellectual property rights could impact the success of our business.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firstLine="426"/>
        <w:spacing w:after="0" w:line="296" w:lineRule="auto"/>
        <w:rPr>
          <w:sz w:val="20"/>
          <w:szCs w:val="20"/>
          <w:color w:val="auto"/>
        </w:rPr>
      </w:pPr>
      <w:r>
        <w:rPr>
          <w:rFonts w:ascii="Arial" w:cs="Arial" w:eastAsia="Arial" w:hAnsi="Arial"/>
          <w:sz w:val="16"/>
          <w:szCs w:val="16"/>
          <w:color w:val="auto"/>
        </w:rPr>
        <w:t>We were incorporated as Marimedia Ltd. in 2007 in Israel under the Israeli Companies Law, 5759-1999 (the “Companies Law”). We changed our name to Taptica International Ltd. in September 2015 and then to Tremor International Ltd. in June 2019. Our principal executive offices are located at Hashmonaim 121, 2nd Floor, Tel Aviv, 6713328, Israel. Our website address is www.tremorinternational.com, and our telephone number is +972-3-545-3900.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qualify as an “emerging growth company” pursuant to the Jumpstart Our Business Startups Act of 2012, as amended (the “JOBS Act”). An emerging growth company may take advantage of specified exemptions from various requirements that are otherwise applicable generally to U.S. public companies. These provisions include:</w:t>
      </w:r>
    </w:p>
    <w:p>
      <w:pPr>
        <w:spacing w:after="0" w:line="89" w:lineRule="exact"/>
        <w:rPr>
          <w:sz w:val="20"/>
          <w:szCs w:val="20"/>
          <w:color w:val="auto"/>
        </w:rPr>
      </w:pPr>
    </w:p>
    <w:p>
      <w:pPr>
        <w:ind w:left="1240" w:right="2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include only two years of audited financial statements and selected financial data and only two years of related disclosure in the registration statement on Form F-1 of which this prospectus is a part;</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executive compensation disclosure; and</w:t>
      </w:r>
    </w:p>
    <w:p>
      <w:pPr>
        <w:spacing w:after="0" w:line="130"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requirements of Section 404 of the Sarbanes-Oxley Act of 2002 (the “Sarbanes-Oxley Act”) in the assessment of the emerging growth company’s internal control over financial reporting.</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may choose to take advantage of some but not all of these reduced reporting burdens.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31" w:lineRule="exact"/>
        <w:rPr>
          <w:sz w:val="20"/>
          <w:szCs w:val="20"/>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day of our fiscal year during which we have total annual revenue of at least $1.07 billion;</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closing of this offering;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date on which we have, during the previous three-year period, issued more than $1.0 billion in non-convertible debt securities; 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67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6672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Securities Exchange Act of 1934, as amended (the “Exchange Act”), which would occur if the market value of our ordinary shares that are held by non-affiliates exceeds $700 million as of the last business day of our most recently completed second fiscal quarter.</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addition, upon the closing of this offering, we will report under the Exchange Act as a “foreign private issuer.” As a foreign private issuer,</w:t>
      </w:r>
    </w:p>
    <w:p>
      <w:pPr>
        <w:spacing w:after="0" w:line="46" w:lineRule="exact"/>
        <w:rPr>
          <w:sz w:val="20"/>
          <w:szCs w:val="20"/>
          <w:color w:val="auto"/>
        </w:rPr>
      </w:pPr>
    </w:p>
    <w:p>
      <w:pPr>
        <w:jc w:val="both"/>
        <w:ind w:left="300"/>
        <w:spacing w:after="0" w:line="277" w:lineRule="auto"/>
        <w:rPr>
          <w:sz w:val="20"/>
          <w:szCs w:val="20"/>
          <w:color w:val="auto"/>
        </w:rPr>
      </w:pPr>
      <w:r>
        <w:rPr>
          <w:rFonts w:ascii="Arial" w:cs="Arial" w:eastAsia="Arial" w:hAnsi="Arial"/>
          <w:sz w:val="17"/>
          <w:szCs w:val="17"/>
          <w:color w:val="auto"/>
        </w:rPr>
        <w:t>we may take advantage of certain provisions under the rules that allow us to follow Israeli law for certain corporate governance matters.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8" w:lineRule="exact"/>
        <w:rPr>
          <w:sz w:val="20"/>
          <w:szCs w:val="20"/>
          <w:color w:val="auto"/>
        </w:rPr>
      </w:pPr>
    </w:p>
    <w:p>
      <w:pPr>
        <w:ind w:left="1240" w:right="2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75" w:lineRule="exact"/>
        <w:rPr>
          <w:rFonts w:ascii="Arial" w:cs="Arial" w:eastAsia="Arial" w:hAnsi="Arial"/>
          <w:sz w:val="18"/>
          <w:szCs w:val="18"/>
          <w:color w:val="auto"/>
        </w:rPr>
      </w:pPr>
    </w:p>
    <w:p>
      <w:pPr>
        <w:jc w:val="both"/>
        <w:ind w:left="124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U.S. Securities and Exchange Commission (the “SEC”) of quarterly reports on Form 10-Q containing unaudited financial and other specified information, or current reports on Form 8-K upon the occurrence of specified significant events; and</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 Fair Disclosure (“Regulation FD”), which regulates selective disclosures of material information by issuers.</w:t>
      </w:r>
    </w:p>
    <w:p>
      <w:pPr>
        <w:spacing w:after="0" w:line="225"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Foreign private issuers, like emerging growth companies, also are exempt from certain more stringent executive compensation disclosure rules. Thus, if we remain a foreign private issuer, even if we no longer qualify as an emerging growth company, we will continue to be exempt from the more stringent compensation disclosures required of public companies that are neither an emerging growth company nor a foreign private issuer.</w:t>
      </w:r>
    </w:p>
    <w:p>
      <w:pPr>
        <w:spacing w:after="0" w:line="187" w:lineRule="exact"/>
        <w:rPr>
          <w:sz w:val="20"/>
          <w:szCs w:val="20"/>
          <w:color w:val="auto"/>
        </w:rPr>
      </w:pPr>
    </w:p>
    <w:p>
      <w:pPr>
        <w:jc w:val="both"/>
        <w:ind w:left="300" w:firstLine="426"/>
        <w:spacing w:after="0" w:line="31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are required to determine our status as a foreign private issuer on an annual basis at the end of our second fiscal quarter. We would cease to be a foreign private issuer at such time as more than 50% of our outstanding voting securities are held by U.S. residents and any of the following three circumstances applies:</w:t>
      </w:r>
    </w:p>
    <w:p>
      <w:pPr>
        <w:spacing w:after="0" w:line="54" w:lineRule="exact"/>
        <w:rPr>
          <w:sz w:val="20"/>
          <w:szCs w:val="20"/>
          <w:color w:val="auto"/>
        </w:rPr>
      </w:pPr>
    </w:p>
    <w:p>
      <w:pPr>
        <w:ind w:left="1240" w:hanging="52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majority of our executive officers or directors are U.S. citizens or residents;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than 50% of our assets are located in the United States; or</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ADSs, each representing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w:t>
      </w:r>
    </w:p>
    <w:p>
      <w:pPr>
        <w:spacing w:after="0" w:line="200" w:lineRule="exact"/>
        <w:rPr>
          <w:sz w:val="20"/>
          <w:szCs w:val="20"/>
          <w:color w:val="auto"/>
        </w:rPr>
      </w:pPr>
    </w:p>
    <w:p>
      <w:pPr>
        <w:sectPr>
          <w:pgSz w:w="11900" w:h="16838" w:orient="portrait"/>
          <w:cols w:equalWidth="0" w:num="3">
            <w:col w:w="4320" w:space="720"/>
            <w:col w:w="1780" w:space="720"/>
            <w:col w:w="360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 to purchase additional ADSs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granted the underwriters an option for a period of 30 days after the date of this prospectus to purchase up to additional ADSs.</w:t>
      </w:r>
    </w:p>
    <w:p>
      <w:pPr>
        <w:spacing w:after="0" w:line="197"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jc w:val="center"/>
        <w:ind w:left="300"/>
        <w:spacing w:after="0"/>
        <w:rPr>
          <w:sz w:val="20"/>
          <w:szCs w:val="20"/>
          <w:color w:val="auto"/>
        </w:rPr>
      </w:pPr>
      <w:r>
        <w:rPr>
          <w:rFonts w:ascii="Arial" w:cs="Arial" w:eastAsia="Arial" w:hAnsi="Arial"/>
          <w:sz w:val="16"/>
          <w:szCs w:val="16"/>
          <w:color w:val="auto"/>
        </w:rPr>
        <w:t>Ordinary shares to be outstanding after this offering</w:t>
      </w:r>
    </w:p>
    <w:p>
      <w:pPr>
        <w:spacing w:after="0" w:line="20" w:lineRule="exact"/>
        <w:rPr>
          <w:sz w:val="20"/>
          <w:szCs w:val="20"/>
          <w:color w:val="auto"/>
        </w:rPr>
      </w:pPr>
      <w:r>
        <w:rPr>
          <w:sz w:val="20"/>
          <w:szCs w:val="20"/>
          <w:color w:val="auto"/>
        </w:rPr>
        <w:br w:type="column"/>
      </w:r>
    </w:p>
    <w:p>
      <w:pPr>
        <w:ind w:right="200" w:firstLine="777"/>
        <w:spacing w:after="0" w:line="277" w:lineRule="auto"/>
        <w:rPr>
          <w:sz w:val="20"/>
          <w:szCs w:val="20"/>
          <w:color w:val="auto"/>
        </w:rPr>
      </w:pPr>
      <w:r>
        <w:rPr>
          <w:rFonts w:ascii="Arial" w:cs="Arial" w:eastAsia="Arial" w:hAnsi="Arial"/>
          <w:sz w:val="18"/>
          <w:szCs w:val="18"/>
          <w:color w:val="auto"/>
        </w:rPr>
        <w:t>ordinary shares (or ordinary shares if the underwriters exercise in full their option to purchase additional ADSs from us).</w:t>
      </w:r>
    </w:p>
    <w:p>
      <w:pPr>
        <w:spacing w:after="0" w:line="197" w:lineRule="exact"/>
        <w:rPr>
          <w:sz w:val="20"/>
          <w:szCs w:val="20"/>
          <w:color w:val="auto"/>
        </w:rPr>
      </w:pPr>
    </w:p>
    <w:p>
      <w:pPr>
        <w:sectPr>
          <w:pgSz w:w="11900" w:h="16838" w:orient="portrait"/>
          <w:cols w:equalWidth="0" w:num="2">
            <w:col w:w="4020" w:space="320"/>
            <w:col w:w="6800"/>
          </w:cols>
          <w:pgMar w:left="320" w:top="459" w:right="4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American Depositary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ADS represents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par value NIS 0.01 per ordinary share.</w:t>
      </w:r>
    </w:p>
    <w:p>
      <w:pPr>
        <w:spacing w:after="0" w:line="200" w:lineRule="exact"/>
        <w:rPr>
          <w:sz w:val="20"/>
          <w:szCs w:val="20"/>
          <w:color w:val="auto"/>
        </w:rPr>
      </w:pPr>
    </w:p>
    <w:p>
      <w:pPr>
        <w:sectPr>
          <w:pgSz w:w="11900" w:h="16838" w:orient="portrait"/>
          <w:cols w:equalWidth="0" w:num="3">
            <w:col w:w="3620" w:space="720"/>
            <w:col w:w="1580" w:space="720"/>
            <w:col w:w="4500"/>
          </w:cols>
          <w:pgMar w:left="320" w:top="459" w:right="439" w:bottom="1440" w:gutter="0" w:footer="0" w:header="0"/>
          <w:type w:val="continuous"/>
        </w:sectPr>
      </w:pPr>
    </w:p>
    <w:p>
      <w:pPr>
        <w:spacing w:after="0" w:line="89" w:lineRule="exact"/>
        <w:rPr>
          <w:sz w:val="20"/>
          <w:szCs w:val="20"/>
          <w:color w:val="auto"/>
        </w:rPr>
      </w:pPr>
    </w:p>
    <w:p>
      <w:pPr>
        <w:ind w:left="4340"/>
        <w:spacing w:after="0"/>
        <w:tabs>
          <w:tab w:leader="none" w:pos="4660" w:val="left"/>
          <w:tab w:leader="none" w:pos="4980" w:val="left"/>
          <w:tab w:leader="none" w:pos="5480" w:val="left"/>
          <w:tab w:leader="none" w:pos="6120" w:val="left"/>
          <w:tab w:leader="none" w:pos="6480" w:val="left"/>
          <w:tab w:leader="none" w:pos="6900" w:val="left"/>
          <w:tab w:leader="none" w:pos="7280" w:val="left"/>
          <w:tab w:leader="none" w:pos="7740" w:val="left"/>
          <w:tab w:leader="none" w:pos="8160" w:val="left"/>
          <w:tab w:leader="none" w:pos="8440" w:val="left"/>
          <w:tab w:leader="none" w:pos="8840" w:val="left"/>
          <w:tab w:leader="none" w:pos="9140" w:val="left"/>
          <w:tab w:leader="none" w:pos="9520" w:val="left"/>
          <w:tab w:leader="none" w:pos="10620" w:val="left"/>
        </w:tabs>
        <w:rPr>
          <w:sz w:val="20"/>
          <w:szCs w:val="20"/>
          <w:color w:val="auto"/>
        </w:rPr>
      </w:pPr>
      <w:r>
        <w:rPr>
          <w:rFonts w:ascii="Arial" w:cs="Arial" w:eastAsia="Arial" w:hAnsi="Arial"/>
          <w:sz w:val="18"/>
          <w:szCs w:val="18"/>
          <w:color w:val="auto"/>
        </w:rPr>
        <w:t>As</w:t>
        <w:tab/>
        <w:t>an</w:t>
        <w:tab/>
        <w:t>ADS</w:t>
        <w:tab/>
        <w:t>holder,</w:t>
        <w:tab/>
        <w:t>we</w:t>
        <w:tab/>
        <w:t>will</w:t>
        <w:tab/>
        <w:t>not</w:t>
        <w:tab/>
        <w:t>treat</w:t>
        <w:tab/>
        <w:t>you</w:t>
        <w:tab/>
        <w:t>as</w:t>
        <w:tab/>
        <w:t>one</w:t>
        <w:tab/>
        <w:t>of</w:t>
        <w:tab/>
        <w:t>our</w:t>
        <w:tab/>
        <w:t>shareholders.</w:t>
      </w:r>
      <w:r>
        <w:rPr>
          <w:sz w:val="20"/>
          <w:szCs w:val="20"/>
          <w:color w:val="auto"/>
        </w:rPr>
        <w:tab/>
      </w:r>
      <w:r>
        <w:rPr>
          <w:rFonts w:ascii="Arial" w:cs="Arial" w:eastAsia="Arial" w:hAnsi="Arial"/>
          <w:sz w:val="16"/>
          <w:szCs w:val="16"/>
          <w:color w:val="auto"/>
        </w:rPr>
        <w:t>The</w:t>
      </w:r>
    </w:p>
    <w:p>
      <w:pPr>
        <w:spacing w:after="0" w:line="23" w:lineRule="exact"/>
        <w:rPr>
          <w:sz w:val="20"/>
          <w:szCs w:val="20"/>
          <w:color w:val="auto"/>
        </w:rPr>
      </w:pPr>
    </w:p>
    <w:p>
      <w:pPr>
        <w:jc w:val="both"/>
        <w:ind w:left="4340" w:right="200"/>
        <w:spacing w:after="0" w:line="267" w:lineRule="auto"/>
        <w:rPr>
          <w:sz w:val="20"/>
          <w:szCs w:val="20"/>
          <w:color w:val="auto"/>
        </w:rPr>
      </w:pPr>
      <w:r>
        <w:rPr>
          <w:rFonts w:ascii="Arial" w:cs="Arial" w:eastAsia="Arial" w:hAnsi="Arial"/>
          <w:sz w:val="17"/>
          <w:szCs w:val="17"/>
          <w:color w:val="auto"/>
        </w:rPr>
        <w:t>depositary, , will be the holder of the ordinary shares underlying your ADSs among us, the depositary and all holders and beneficial owners of ADSs thereunder. You will have rights as provided in the deposit agreement. You may surrender your ADSs and withdraw the underlying ordinary shares as provided, and pursuant to the limitations set forth, in the deposit agreement. The depositary will charge you fees for, among other items, any such surrender for the purpose of withdrawal. As described in the deposit agreement, we and the depositary may amend or terminate the deposit agreement without your consent. Any amendment that imposes or increases fees or charges or which materially prejudices any substantial existing right you have as an ADS holder will not become effective as to outstanding ADSs until 30 days after notice of the amendment is given to ADS holders. If you continue to hold your ADSs, you agree to be bound by the terms of the deposit agreement then in effect. To better understand the terms of the ADSs, you should carefully read the “</w:t>
      </w:r>
      <w:r>
        <w:rPr>
          <w:rFonts w:ascii="Arial" w:cs="Arial" w:eastAsia="Arial" w:hAnsi="Arial"/>
          <w:sz w:val="17"/>
          <w:szCs w:val="17"/>
          <w:i w:val="1"/>
          <w:iCs w:val="1"/>
          <w:color w:val="auto"/>
        </w:rPr>
        <w:t>Description of American Depositary Shares</w:t>
      </w:r>
      <w:r>
        <w:rPr>
          <w:rFonts w:ascii="Arial" w:cs="Arial" w:eastAsia="Arial" w:hAnsi="Arial"/>
          <w:sz w:val="17"/>
          <w:szCs w:val="17"/>
          <w:color w:val="auto"/>
        </w:rPr>
        <w:t>” section of this prospectus. You should also read the deposit agreement, which is an exhibit to the registration statement of which this prospectus forms a part.</w:t>
      </w:r>
    </w:p>
    <w:p>
      <w:pPr>
        <w:sectPr>
          <w:pgSz w:w="11900" w:h="16838" w:orient="portrait"/>
          <w:cols w:equalWidth="0" w:num="1">
            <w:col w:w="11140"/>
          </w:cols>
          <w:pgMar w:left="320" w:top="459" w:right="439" w:bottom="1440" w:gutter="0" w:footer="0" w:header="0"/>
          <w:type w:val="continuous"/>
        </w:sectPr>
      </w:pP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Depositary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Custodian</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estimate that the net proceeds to us from this offering will be approximately $ million (or $ million if the underwriters exercise in full their option to purchase additional ADSs from us), assuming an initial public offering price of</w:t>
      </w:r>
    </w:p>
    <w:p>
      <w:pPr>
        <w:spacing w:after="0" w:line="3"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ind w:left="5240" w:hanging="905"/>
        <w:spacing w:after="0"/>
        <w:tabs>
          <w:tab w:leader="none" w:pos="5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 ADS, the U.S. dollar equivalent of the closing price of our ordinary shares</w:t>
      </w: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260" w:type="dxa"/>
            <w:vAlign w:val="bottom"/>
            <w:gridSpan w:val="2"/>
          </w:tcPr>
          <w:p>
            <w:pPr>
              <w:ind w:left="4220"/>
              <w:spacing w:after="0"/>
              <w:rPr>
                <w:sz w:val="20"/>
                <w:szCs w:val="20"/>
                <w:color w:val="auto"/>
              </w:rPr>
            </w:pPr>
            <w:r>
              <w:rPr>
                <w:rFonts w:ascii="Arial" w:cs="Arial" w:eastAsia="Arial" w:hAnsi="Arial"/>
                <w:sz w:val="18"/>
                <w:szCs w:val="18"/>
                <w:color w:val="auto"/>
              </w:rPr>
              <w:t>on AIM of £</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on</w:t>
            </w:r>
          </w:p>
        </w:tc>
        <w:tc>
          <w:tcPr>
            <w:tcW w:w="4560" w:type="dxa"/>
            <w:vAlign w:val="bottom"/>
          </w:tcPr>
          <w:p>
            <w:pPr>
              <w:ind w:left="400"/>
              <w:spacing w:after="0"/>
              <w:rPr>
                <w:sz w:val="20"/>
                <w:szCs w:val="20"/>
                <w:color w:val="auto"/>
              </w:rPr>
            </w:pPr>
            <w:r>
              <w:rPr>
                <w:rFonts w:ascii="Arial" w:cs="Arial" w:eastAsia="Arial" w:hAnsi="Arial"/>
                <w:sz w:val="18"/>
                <w:szCs w:val="18"/>
                <w:color w:val="auto"/>
                <w:w w:val="92"/>
              </w:rPr>
              <w:t>, 2021 (based on an assumed exchange rate of £1.00 to</w:t>
            </w:r>
          </w:p>
        </w:tc>
      </w:tr>
      <w:tr>
        <w:trPr>
          <w:trHeight w:val="216"/>
        </w:trPr>
        <w:tc>
          <w:tcPr>
            <w:tcW w:w="4640" w:type="dxa"/>
            <w:vAlign w:val="bottom"/>
          </w:tcPr>
          <w:p>
            <w:pPr>
              <w:ind w:left="4220"/>
              <w:spacing w:after="0"/>
              <w:rPr>
                <w:sz w:val="20"/>
                <w:szCs w:val="20"/>
                <w:color w:val="auto"/>
              </w:rPr>
            </w:pPr>
            <w:r>
              <w:rPr>
                <w:rFonts w:ascii="Arial" w:cs="Arial" w:eastAsia="Arial" w:hAnsi="Arial"/>
                <w:sz w:val="18"/>
                <w:szCs w:val="18"/>
                <w:color w:val="auto"/>
              </w:rPr>
              <w:t>$1.</w:t>
            </w:r>
          </w:p>
        </w:tc>
        <w:tc>
          <w:tcPr>
            <w:tcW w:w="6380" w:type="dxa"/>
            <w:vAlign w:val="bottom"/>
            <w:gridSpan w:val="3"/>
          </w:tcPr>
          <w:p>
            <w:pPr>
              <w:ind w:left="220"/>
              <w:spacing w:after="0"/>
              <w:rPr>
                <w:sz w:val="20"/>
                <w:szCs w:val="20"/>
                <w:color w:val="auto"/>
              </w:rPr>
            </w:pPr>
            <w:r>
              <w:rPr>
                <w:rFonts w:ascii="Arial" w:cs="Arial" w:eastAsia="Arial" w:hAnsi="Arial"/>
                <w:sz w:val="18"/>
                <w:szCs w:val="18"/>
                <w:color w:val="auto"/>
                <w:w w:val="94"/>
              </w:rPr>
              <w:t>), after deducting underwriting discounts and commissions and estimated offering</w:t>
            </w:r>
          </w:p>
        </w:tc>
      </w:tr>
      <w:tr>
        <w:trPr>
          <w:trHeight w:val="230"/>
        </w:trPr>
        <w:tc>
          <w:tcPr>
            <w:tcW w:w="5260" w:type="dxa"/>
            <w:vAlign w:val="bottom"/>
            <w:gridSpan w:val="2"/>
          </w:tcPr>
          <w:p>
            <w:pPr>
              <w:ind w:left="4220"/>
              <w:spacing w:after="0"/>
              <w:rPr>
                <w:sz w:val="20"/>
                <w:szCs w:val="20"/>
                <w:color w:val="auto"/>
              </w:rPr>
            </w:pPr>
            <w:r>
              <w:rPr>
                <w:rFonts w:ascii="Arial" w:cs="Arial" w:eastAsia="Arial" w:hAnsi="Arial"/>
                <w:sz w:val="18"/>
                <w:szCs w:val="18"/>
                <w:color w:val="auto"/>
              </w:rPr>
              <w:t>expenses.</w:t>
            </w:r>
          </w:p>
        </w:tc>
        <w:tc>
          <w:tcPr>
            <w:tcW w:w="12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40"/>
        </w:trPr>
        <w:tc>
          <w:tcPr>
            <w:tcW w:w="46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r>
      <w:tr>
        <w:trPr>
          <w:trHeight w:val="604"/>
        </w:trPr>
        <w:tc>
          <w:tcPr>
            <w:tcW w:w="4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jc w:val="right"/>
              <w:ind w:right="770"/>
              <w:spacing w:after="0"/>
              <w:rPr>
                <w:sz w:val="20"/>
                <w:szCs w:val="20"/>
                <w:color w:val="auto"/>
              </w:rPr>
            </w:pPr>
            <w:r>
              <w:rPr>
                <w:rFonts w:ascii="Arial" w:cs="Arial" w:eastAsia="Arial" w:hAnsi="Arial"/>
                <w:sz w:val="18"/>
                <w:szCs w:val="18"/>
                <w:color w:val="auto"/>
              </w:rPr>
              <w:t>12</w:t>
            </w:r>
          </w:p>
        </w:tc>
        <w:tc>
          <w:tcPr>
            <w:tcW w:w="45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53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053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3"/>
              </w:rPr>
              <w:t>The principal purposes of this offering are to obtain additional working capital, to create a</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2"/>
              </w:rPr>
              <w:t>public market for our ADSs and to facilitate our future access to the public equity markets.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2"/>
              </w:rPr>
              <w:t>We intend to use the net proceeds from this offering for working capital, general corporate</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2"/>
              </w:rPr>
              <w:t>purposes and to fund incremental growth, including for possible acquisitions. See “</w:t>
            </w:r>
            <w:r>
              <w:rPr>
                <w:rFonts w:ascii="Arial" w:cs="Arial" w:eastAsia="Arial" w:hAnsi="Arial"/>
                <w:sz w:val="18"/>
                <w:szCs w:val="18"/>
                <w:i w:val="1"/>
                <w:iCs w:val="1"/>
                <w:color w:val="auto"/>
                <w:w w:val="92"/>
              </w:rPr>
              <w:t>Use of</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i w:val="1"/>
                <w:iCs w:val="1"/>
                <w:color w:val="auto"/>
              </w:rPr>
              <w:t>Proceeds</w:t>
            </w:r>
            <w:r>
              <w:rPr>
                <w:rFonts w:ascii="Arial" w:cs="Arial" w:eastAsia="Arial" w:hAnsi="Arial"/>
                <w:sz w:val="18"/>
                <w:szCs w:val="18"/>
                <w:color w:val="auto"/>
              </w:rPr>
              <w:t>.”</w:t>
            </w:r>
          </w:p>
        </w:tc>
        <w:tc>
          <w:tcPr>
            <w:tcW w:w="2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3880" w:type="dxa"/>
            <w:vAlign w:val="bottom"/>
            <w:gridSpan w:val="2"/>
          </w:tcPr>
          <w:p>
            <w:pPr>
              <w:spacing w:after="0"/>
              <w:rPr>
                <w:sz w:val="20"/>
                <w:szCs w:val="20"/>
                <w:color w:val="auto"/>
              </w:rPr>
            </w:pPr>
            <w:r>
              <w:rPr>
                <w:rFonts w:ascii="Arial" w:cs="Arial" w:eastAsia="Arial" w:hAnsi="Arial"/>
                <w:sz w:val="18"/>
                <w:szCs w:val="18"/>
                <w:color w:val="auto"/>
              </w:rPr>
              <w:t>Dividend policy</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0"/>
              </w:rPr>
              <w:t>Our board of directors has sole discretion whether to pay dividends. Although we have paid</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6"/>
              </w:rPr>
              <w:t>dividends and conducted share buybacks in the past, we do not anticipate paying any</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dividends in the foreseeable future. 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tc>
        <w:tc>
          <w:tcPr>
            <w:tcW w:w="940" w:type="dxa"/>
            <w:vAlign w:val="bottom"/>
          </w:tcPr>
          <w:p>
            <w:pPr>
              <w:spacing w:after="0"/>
              <w:rPr>
                <w:sz w:val="20"/>
                <w:szCs w:val="20"/>
                <w:color w:val="auto"/>
              </w:rPr>
            </w:pPr>
          </w:p>
        </w:tc>
      </w:tr>
      <w:tr>
        <w:trPr>
          <w:trHeight w:val="445"/>
        </w:trPr>
        <w:tc>
          <w:tcPr>
            <w:tcW w:w="388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Investing in our ADSs involves a high degree or risk. See “</w:t>
            </w:r>
            <w:r>
              <w:rPr>
                <w:rFonts w:ascii="Arial" w:cs="Arial" w:eastAsia="Arial" w:hAnsi="Arial"/>
                <w:sz w:val="18"/>
                <w:szCs w:val="18"/>
                <w:i w:val="1"/>
                <w:iCs w:val="1"/>
                <w:color w:val="auto"/>
              </w:rPr>
              <w:t>Risk Factors</w:t>
            </w:r>
            <w:r>
              <w:rPr>
                <w:rFonts w:ascii="Arial" w:cs="Arial" w:eastAsia="Arial" w:hAnsi="Arial"/>
                <w:sz w:val="18"/>
                <w:szCs w:val="18"/>
                <w:color w:val="auto"/>
              </w:rPr>
              <w:t>” and other</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6"/>
              </w:rPr>
              <w:t>information included in this prospectus for a discussion of factors you should carefully</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w w:val="93"/>
              </w:rPr>
              <w:t>consider before deciding to invest in our ADSs.</w:t>
            </w:r>
          </w:p>
        </w:tc>
        <w:tc>
          <w:tcPr>
            <w:tcW w:w="2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520" w:type="dxa"/>
            <w:vAlign w:val="bottom"/>
          </w:tcPr>
          <w:p>
            <w:pPr>
              <w:spacing w:after="0"/>
              <w:rPr>
                <w:sz w:val="20"/>
                <w:szCs w:val="20"/>
                <w:color w:val="auto"/>
              </w:rPr>
            </w:pPr>
            <w:r>
              <w:rPr>
                <w:rFonts w:ascii="Arial" w:cs="Arial" w:eastAsia="Arial" w:hAnsi="Arial"/>
                <w:sz w:val="18"/>
                <w:szCs w:val="18"/>
                <w:color w:val="auto"/>
                <w:w w:val="96"/>
              </w:rPr>
              <w:t>Listing</w:t>
            </w:r>
          </w:p>
        </w:tc>
        <w:tc>
          <w:tcPr>
            <w:tcW w:w="3360" w:type="dxa"/>
            <w:vAlign w:val="bottom"/>
          </w:tcPr>
          <w:p>
            <w:pPr>
              <w:spacing w:after="0"/>
              <w:rPr>
                <w:sz w:val="24"/>
                <w:szCs w:val="24"/>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We intend to apply to list our ADSs on</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w w:val="96"/>
              </w:rPr>
              <w:t>under the symbol “TRMR.” Our ordinary</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2"/>
              </w:rPr>
              <w:t>shares trade on AIM, a market of the London Stock Exchange, under the symbol “TRMR.”</w:t>
            </w:r>
          </w:p>
        </w:tc>
      </w:tr>
      <w:tr>
        <w:trPr>
          <w:trHeight w:val="418"/>
        </w:trPr>
        <w:tc>
          <w:tcPr>
            <w:tcW w:w="7560" w:type="dxa"/>
            <w:vAlign w:val="bottom"/>
            <w:gridSpan w:val="3"/>
          </w:tcPr>
          <w:p>
            <w:pPr>
              <w:ind w:left="420"/>
              <w:spacing w:after="0"/>
              <w:rPr>
                <w:sz w:val="20"/>
                <w:szCs w:val="20"/>
                <w:color w:val="auto"/>
              </w:rPr>
            </w:pPr>
            <w:r>
              <w:rPr>
                <w:rFonts w:ascii="Arial" w:cs="Arial" w:eastAsia="Arial" w:hAnsi="Arial"/>
                <w:sz w:val="18"/>
                <w:szCs w:val="18"/>
                <w:color w:val="auto"/>
                <w:w w:val="94"/>
              </w:rPr>
              <w:t>The number of our ordinary shares to be outstanding immediately after this offering is based on</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ordinary shares outstanding as of</w:t>
            </w:r>
          </w:p>
        </w:tc>
      </w:tr>
      <w:tr>
        <w:trPr>
          <w:trHeight w:val="230"/>
        </w:trPr>
        <w:tc>
          <w:tcPr>
            <w:tcW w:w="5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 2021 and excludes:</w:t>
            </w:r>
          </w:p>
        </w:tc>
        <w:tc>
          <w:tcPr>
            <w:tcW w:w="3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3"/>
        </w:trPr>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9180" w:type="dxa"/>
            <w:vAlign w:val="bottom"/>
            <w:gridSpan w:val="3"/>
          </w:tcPr>
          <w:p>
            <w:pPr>
              <w:ind w:left="1180"/>
              <w:spacing w:after="0"/>
              <w:rPr>
                <w:sz w:val="20"/>
                <w:szCs w:val="20"/>
                <w:color w:val="auto"/>
              </w:rPr>
            </w:pPr>
            <w:r>
              <w:rPr>
                <w:rFonts w:ascii="Arial" w:cs="Arial" w:eastAsia="Arial" w:hAnsi="Arial"/>
                <w:sz w:val="18"/>
                <w:szCs w:val="18"/>
                <w:color w:val="auto"/>
                <w:w w:val="94"/>
              </w:rPr>
              <w:t>ordinary shares issuable upon (i) the exercise of options outstanding under our equity incentive plans as of</w:t>
            </w:r>
          </w:p>
        </w:tc>
        <w:tc>
          <w:tcPr>
            <w:tcW w:w="940" w:type="dxa"/>
            <w:vAlign w:val="bottom"/>
          </w:tcPr>
          <w:p>
            <w:pPr>
              <w:jc w:val="right"/>
              <w:spacing w:after="0"/>
              <w:rPr>
                <w:sz w:val="20"/>
                <w:szCs w:val="20"/>
                <w:color w:val="auto"/>
              </w:rPr>
            </w:pPr>
            <w:r>
              <w:rPr>
                <w:rFonts w:ascii="Arial" w:cs="Arial" w:eastAsia="Arial" w:hAnsi="Arial"/>
                <w:sz w:val="18"/>
                <w:szCs w:val="18"/>
                <w:color w:val="auto"/>
              </w:rPr>
              <w:t>, 2021 at</w:t>
            </w:r>
          </w:p>
        </w:tc>
      </w:tr>
      <w:tr>
        <w:trPr>
          <w:trHeight w:val="216"/>
        </w:trPr>
        <w:tc>
          <w:tcPr>
            <w:tcW w:w="5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w w:val="94"/>
              </w:rPr>
              <w:t>a weighted average exercise price of $</w:t>
            </w:r>
          </w:p>
        </w:tc>
        <w:tc>
          <w:tcPr>
            <w:tcW w:w="6760" w:type="dxa"/>
            <w:vAlign w:val="bottom"/>
            <w:gridSpan w:val="3"/>
          </w:tcPr>
          <w:p>
            <w:pPr>
              <w:jc w:val="right"/>
              <w:spacing w:after="0"/>
              <w:rPr>
                <w:sz w:val="20"/>
                <w:szCs w:val="20"/>
                <w:color w:val="auto"/>
              </w:rPr>
            </w:pPr>
            <w:r>
              <w:rPr>
                <w:rFonts w:ascii="Arial" w:cs="Arial" w:eastAsia="Arial" w:hAnsi="Arial"/>
                <w:sz w:val="18"/>
                <w:szCs w:val="18"/>
                <w:color w:val="auto"/>
              </w:rPr>
              <w:t>per ordinary share and (ii) the vesting of restricted share units (“RSUs”) outstanding</w:t>
            </w:r>
          </w:p>
        </w:tc>
      </w:tr>
      <w:tr>
        <w:trPr>
          <w:trHeight w:val="230"/>
        </w:trPr>
        <w:tc>
          <w:tcPr>
            <w:tcW w:w="520" w:type="dxa"/>
            <w:vAlign w:val="bottom"/>
          </w:tcPr>
          <w:p>
            <w:pPr>
              <w:spacing w:after="0"/>
              <w:rPr>
                <w:sz w:val="20"/>
                <w:szCs w:val="20"/>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w w:val="96"/>
              </w:rPr>
              <w:t>under our equity incentive plans as of,</w:t>
            </w:r>
          </w:p>
        </w:tc>
        <w:tc>
          <w:tcPr>
            <w:tcW w:w="3680" w:type="dxa"/>
            <w:vAlign w:val="bottom"/>
          </w:tcPr>
          <w:p>
            <w:pPr>
              <w:ind w:left="440"/>
              <w:spacing w:after="0"/>
              <w:rPr>
                <w:sz w:val="20"/>
                <w:szCs w:val="20"/>
                <w:color w:val="auto"/>
              </w:rPr>
            </w:pPr>
            <w:r>
              <w:rPr>
                <w:rFonts w:ascii="Arial" w:cs="Arial" w:eastAsia="Arial" w:hAnsi="Arial"/>
                <w:sz w:val="18"/>
                <w:szCs w:val="18"/>
                <w:color w:val="auto"/>
              </w:rPr>
              <w:t>2021; and</w:t>
            </w:r>
          </w:p>
        </w:tc>
        <w:tc>
          <w:tcPr>
            <w:tcW w:w="2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3"/>
        </w:trPr>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10120" w:type="dxa"/>
            <w:vAlign w:val="bottom"/>
            <w:gridSpan w:val="4"/>
          </w:tcPr>
          <w:p>
            <w:pPr>
              <w:jc w:val="right"/>
              <w:spacing w:after="0"/>
              <w:rPr>
                <w:sz w:val="20"/>
                <w:szCs w:val="20"/>
                <w:color w:val="auto"/>
              </w:rPr>
            </w:pPr>
            <w:r>
              <w:rPr>
                <w:rFonts w:ascii="Arial" w:cs="Arial" w:eastAsia="Arial" w:hAnsi="Arial"/>
                <w:sz w:val="18"/>
                <w:szCs w:val="18"/>
                <w:color w:val="auto"/>
              </w:rPr>
              <w:t>ordinary shares reserved for future issuance under our equity incentive plans as described in “</w:t>
            </w:r>
            <w:r>
              <w:rPr>
                <w:rFonts w:ascii="Arial" w:cs="Arial" w:eastAsia="Arial" w:hAnsi="Arial"/>
                <w:sz w:val="18"/>
                <w:szCs w:val="18"/>
                <w:i w:val="1"/>
                <w:iCs w:val="1"/>
                <w:color w:val="auto"/>
              </w:rPr>
              <w:t>Management—Equity</w:t>
            </w:r>
          </w:p>
        </w:tc>
      </w:tr>
      <w:tr>
        <w:trPr>
          <w:trHeight w:val="230"/>
        </w:trPr>
        <w:tc>
          <w:tcPr>
            <w:tcW w:w="520" w:type="dxa"/>
            <w:vAlign w:val="bottom"/>
          </w:tcPr>
          <w:p>
            <w:pPr>
              <w:spacing w:after="0"/>
              <w:rPr>
                <w:sz w:val="20"/>
                <w:szCs w:val="20"/>
                <w:color w:val="auto"/>
              </w:rPr>
            </w:pPr>
          </w:p>
        </w:tc>
        <w:tc>
          <w:tcPr>
            <w:tcW w:w="3360" w:type="dxa"/>
            <w:vAlign w:val="bottom"/>
          </w:tcPr>
          <w:p>
            <w:pPr>
              <w:ind w:left="420"/>
              <w:spacing w:after="0"/>
              <w:rPr>
                <w:sz w:val="20"/>
                <w:szCs w:val="20"/>
                <w:color w:val="auto"/>
              </w:rPr>
            </w:pPr>
            <w:r>
              <w:rPr>
                <w:rFonts w:ascii="Arial" w:cs="Arial" w:eastAsia="Arial" w:hAnsi="Arial"/>
                <w:sz w:val="18"/>
                <w:szCs w:val="18"/>
                <w:i w:val="1"/>
                <w:iCs w:val="1"/>
                <w:color w:val="auto"/>
              </w:rPr>
              <w:t>Incentive Plans</w:t>
            </w:r>
            <w:r>
              <w:rPr>
                <w:rFonts w:ascii="Arial" w:cs="Arial" w:eastAsia="Arial" w:hAnsi="Arial"/>
                <w:sz w:val="18"/>
                <w:szCs w:val="18"/>
                <w:color w:val="auto"/>
              </w:rPr>
              <w:t>.”</w:t>
            </w:r>
          </w:p>
        </w:tc>
        <w:tc>
          <w:tcPr>
            <w:tcW w:w="3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900" w:type="dxa"/>
            <w:vAlign w:val="bottom"/>
            <w:gridSpan w:val="4"/>
          </w:tcPr>
          <w:p>
            <w:pPr>
              <w:ind w:left="240"/>
              <w:spacing w:after="0"/>
              <w:rPr>
                <w:sz w:val="20"/>
                <w:szCs w:val="20"/>
                <w:color w:val="auto"/>
              </w:rPr>
            </w:pPr>
            <w:r>
              <w:rPr>
                <w:rFonts w:ascii="Arial" w:cs="Arial" w:eastAsia="Arial" w:hAnsi="Arial"/>
                <w:sz w:val="18"/>
                <w:szCs w:val="18"/>
                <w:color w:val="auto"/>
                <w:w w:val="91"/>
              </w:rPr>
              <w:t>no exercise by the underwriters of their option to purchase up to</w:t>
            </w:r>
          </w:p>
        </w:tc>
        <w:tc>
          <w:tcPr>
            <w:tcW w:w="5240" w:type="dxa"/>
            <w:vAlign w:val="bottom"/>
            <w:gridSpan w:val="2"/>
          </w:tcPr>
          <w:p>
            <w:pPr>
              <w:jc w:val="right"/>
              <w:ind w:right="3250"/>
              <w:spacing w:after="0"/>
              <w:rPr>
                <w:sz w:val="20"/>
                <w:szCs w:val="20"/>
                <w:color w:val="auto"/>
              </w:rPr>
            </w:pPr>
            <w:r>
              <w:rPr>
                <w:rFonts w:ascii="Arial" w:cs="Arial" w:eastAsia="Arial" w:hAnsi="Arial"/>
                <w:sz w:val="18"/>
                <w:szCs w:val="18"/>
                <w:color w:val="auto"/>
              </w:rPr>
              <w:t>additional ADSs;</w:t>
            </w:r>
          </w:p>
        </w:tc>
      </w:tr>
      <w:tr>
        <w:trPr>
          <w:trHeight w:val="338"/>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900" w:type="dxa"/>
            <w:vAlign w:val="bottom"/>
            <w:gridSpan w:val="4"/>
          </w:tcPr>
          <w:p>
            <w:pPr>
              <w:ind w:left="240"/>
              <w:spacing w:after="0"/>
              <w:rPr>
                <w:sz w:val="20"/>
                <w:szCs w:val="20"/>
                <w:color w:val="auto"/>
              </w:rPr>
            </w:pPr>
            <w:r>
              <w:rPr>
                <w:rFonts w:ascii="Arial" w:cs="Arial" w:eastAsia="Arial" w:hAnsi="Arial"/>
                <w:sz w:val="18"/>
                <w:szCs w:val="18"/>
                <w:color w:val="auto"/>
                <w:w w:val="96"/>
              </w:rPr>
              <w:t>no exercise of the outstanding options described above after</w:t>
            </w:r>
          </w:p>
        </w:tc>
        <w:tc>
          <w:tcPr>
            <w:tcW w:w="1480" w:type="dxa"/>
            <w:vAlign w:val="bottom"/>
          </w:tcPr>
          <w:p>
            <w:pPr>
              <w:jc w:val="right"/>
              <w:ind w:right="650"/>
              <w:spacing w:after="0"/>
              <w:rPr>
                <w:sz w:val="20"/>
                <w:szCs w:val="20"/>
                <w:color w:val="auto"/>
              </w:rPr>
            </w:pPr>
            <w:r>
              <w:rPr>
                <w:rFonts w:ascii="Arial" w:cs="Arial" w:eastAsia="Arial" w:hAnsi="Arial"/>
                <w:sz w:val="18"/>
                <w:szCs w:val="18"/>
                <w:color w:val="auto"/>
              </w:rPr>
              <w:t>, 2021;</w:t>
            </w:r>
          </w:p>
        </w:tc>
        <w:tc>
          <w:tcPr>
            <w:tcW w:w="3760" w:type="dxa"/>
            <w:vAlign w:val="bottom"/>
          </w:tcPr>
          <w:p>
            <w:pPr>
              <w:spacing w:after="0"/>
              <w:rPr>
                <w:sz w:val="24"/>
                <w:szCs w:val="24"/>
                <w:color w:val="auto"/>
              </w:rPr>
            </w:pPr>
          </w:p>
        </w:tc>
      </w:tr>
      <w:tr>
        <w:trPr>
          <w:trHeight w:val="338"/>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900" w:type="dxa"/>
            <w:vAlign w:val="bottom"/>
            <w:gridSpan w:val="4"/>
          </w:tcPr>
          <w:p>
            <w:pPr>
              <w:ind w:left="240"/>
              <w:spacing w:after="0"/>
              <w:rPr>
                <w:sz w:val="20"/>
                <w:szCs w:val="20"/>
                <w:color w:val="auto"/>
              </w:rPr>
            </w:pPr>
            <w:r>
              <w:rPr>
                <w:rFonts w:ascii="Arial" w:cs="Arial" w:eastAsia="Arial" w:hAnsi="Arial"/>
                <w:sz w:val="18"/>
                <w:szCs w:val="18"/>
                <w:color w:val="auto"/>
              </w:rPr>
              <w:t>no vesting of the outstanding RSUs described above after</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w w:val="93"/>
              </w:rPr>
              <w:t>, 2021; and</w:t>
            </w:r>
          </w:p>
        </w:tc>
        <w:tc>
          <w:tcPr>
            <w:tcW w:w="3760" w:type="dxa"/>
            <w:vAlign w:val="bottom"/>
          </w:tcPr>
          <w:p>
            <w:pPr>
              <w:spacing w:after="0"/>
              <w:rPr>
                <w:sz w:val="24"/>
                <w:szCs w:val="24"/>
                <w:color w:val="auto"/>
              </w:rPr>
            </w:pPr>
          </w:p>
        </w:tc>
      </w:tr>
      <w:tr>
        <w:trPr>
          <w:trHeight w:val="323"/>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3100" w:type="dxa"/>
            <w:vAlign w:val="bottom"/>
            <w:gridSpan w:val="3"/>
          </w:tcPr>
          <w:p>
            <w:pPr>
              <w:ind w:left="240"/>
              <w:spacing w:after="0"/>
              <w:rPr>
                <w:sz w:val="20"/>
                <w:szCs w:val="20"/>
                <w:color w:val="auto"/>
              </w:rPr>
            </w:pPr>
            <w:r>
              <w:rPr>
                <w:rFonts w:ascii="Arial" w:cs="Arial" w:eastAsia="Arial" w:hAnsi="Arial"/>
                <w:sz w:val="18"/>
                <w:szCs w:val="18"/>
                <w:color w:val="auto"/>
              </w:rPr>
              <w:t>an initial public offering price of $</w:t>
            </w:r>
          </w:p>
        </w:tc>
        <w:tc>
          <w:tcPr>
            <w:tcW w:w="7040" w:type="dxa"/>
            <w:vAlign w:val="bottom"/>
            <w:gridSpan w:val="3"/>
          </w:tcPr>
          <w:p>
            <w:pPr>
              <w:jc w:val="right"/>
              <w:ind w:right="130"/>
              <w:spacing w:after="0"/>
              <w:rPr>
                <w:sz w:val="20"/>
                <w:szCs w:val="20"/>
                <w:color w:val="auto"/>
              </w:rPr>
            </w:pPr>
            <w:r>
              <w:rPr>
                <w:rFonts w:ascii="Arial" w:cs="Arial" w:eastAsia="Arial" w:hAnsi="Arial"/>
                <w:sz w:val="18"/>
                <w:szCs w:val="18"/>
                <w:color w:val="auto"/>
                <w:w w:val="97"/>
              </w:rPr>
              <w:t>per ADS, the U.S. dollar equivalent of the closing price of our ordinary shares on AIM of</w:t>
            </w:r>
          </w:p>
        </w:tc>
      </w:tr>
      <w:tr>
        <w:trPr>
          <w:trHeight w:val="230"/>
        </w:trPr>
        <w:tc>
          <w:tcPr>
            <w:tcW w:w="880" w:type="dxa"/>
            <w:vAlign w:val="bottom"/>
          </w:tcPr>
          <w:p>
            <w:pPr>
              <w:spacing w:after="0"/>
              <w:rPr>
                <w:sz w:val="20"/>
                <w:szCs w:val="20"/>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ind w:left="360"/>
              <w:spacing w:after="0"/>
              <w:rPr>
                <w:sz w:val="20"/>
                <w:szCs w:val="20"/>
                <w:color w:val="auto"/>
              </w:rPr>
            </w:pPr>
            <w:r>
              <w:rPr>
                <w:rFonts w:ascii="Arial" w:cs="Arial" w:eastAsia="Arial" w:hAnsi="Arial"/>
                <w:sz w:val="18"/>
                <w:szCs w:val="18"/>
                <w:color w:val="auto"/>
              </w:rPr>
              <w:t>on</w:t>
            </w:r>
          </w:p>
        </w:tc>
        <w:tc>
          <w:tcPr>
            <w:tcW w:w="4780" w:type="dxa"/>
            <w:vAlign w:val="bottom"/>
            <w:gridSpan w:val="3"/>
          </w:tcPr>
          <w:p>
            <w:pPr>
              <w:jc w:val="right"/>
              <w:ind w:right="90"/>
              <w:spacing w:after="0"/>
              <w:rPr>
                <w:sz w:val="20"/>
                <w:szCs w:val="20"/>
                <w:color w:val="auto"/>
              </w:rPr>
            </w:pPr>
            <w:r>
              <w:rPr>
                <w:rFonts w:ascii="Arial" w:cs="Arial" w:eastAsia="Arial" w:hAnsi="Arial"/>
                <w:sz w:val="18"/>
                <w:szCs w:val="18"/>
                <w:color w:val="auto"/>
                <w:w w:val="95"/>
              </w:rPr>
              <w:t>, 2021 (based on an assumed exchange rate of £1.00 to $1.</w:t>
            </w:r>
          </w:p>
        </w:tc>
        <w:tc>
          <w:tcPr>
            <w:tcW w:w="3760" w:type="dxa"/>
            <w:vAlign w:val="bottom"/>
          </w:tcPr>
          <w:p>
            <w:pPr>
              <w:jc w:val="right"/>
              <w:ind w:right="3390"/>
              <w:spacing w:after="0"/>
              <w:rPr>
                <w:sz w:val="20"/>
                <w:szCs w:val="20"/>
                <w:color w:val="auto"/>
              </w:rPr>
            </w:pPr>
            <w:r>
              <w:rPr>
                <w:rFonts w:ascii="Arial" w:cs="Arial" w:eastAsia="Arial" w:hAnsi="Arial"/>
                <w:sz w:val="18"/>
                <w:szCs w:val="18"/>
                <w:color w:val="auto"/>
              </w:rPr>
              <w:t>).</w:t>
            </w:r>
          </w:p>
        </w:tc>
      </w:tr>
      <w:tr>
        <w:trPr>
          <w:trHeight w:val="240"/>
        </w:trPr>
        <w:tc>
          <w:tcPr>
            <w:tcW w:w="8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r>
      <w:tr>
        <w:trPr>
          <w:trHeight w:val="604"/>
        </w:trPr>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48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color w:val="auto"/>
        </w:rPr>
        <w:t>The following tables present our summary consolidated financial and other data. We prepare our consolidated financial statements in accordance with IFRS as issued by the IASB. The summary historical consolidated financial data as of December 31, 2020 and for the years ended December 31, 2020 and 2019 has been derived from our audited consolidated financial statements, which are included elsewhere in this prospectus. Our historical results for any prior period are not necessarily indicative of results expected in any future period.</w:t>
      </w:r>
    </w:p>
    <w:p>
      <w:pPr>
        <w:spacing w:after="0" w:line="17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The financial data set forth below should be read in conjunction with, and is qualified by reference to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notes thereto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w:t>
      </w:r>
    </w:p>
    <w:p>
      <w:pPr>
        <w:spacing w:after="0" w:line="39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Operation and Other Comprehensive Income</w:t>
      </w:r>
    </w:p>
    <w:p>
      <w:pPr>
        <w:spacing w:after="0" w:line="248"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Year Ended</w:t>
      </w:r>
    </w:p>
    <w:p>
      <w:pPr>
        <w:jc w:val="center"/>
        <w:ind w:left="59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580" w:type="dxa"/>
        <w:tblCellMar>
          <w:top w:w="0" w:type="dxa"/>
          <w:left w:w="0" w:type="dxa"/>
          <w:bottom w:w="0" w:type="dxa"/>
          <w:right w:w="0" w:type="dxa"/>
        </w:tblCellMar>
      </w:tblPr>
      <w:tr>
        <w:trPr>
          <w:trHeight w:val="142"/>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other than per share amounts)</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6"/>
              </w:rPr>
              <w:t>325,760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211,920</w:t>
            </w:r>
          </w:p>
        </w:tc>
        <w:tc>
          <w:tcPr>
            <w:tcW w:w="0" w:type="dxa"/>
            <w:vAlign w:val="bottom"/>
          </w:tcPr>
          <w:p>
            <w:pPr>
              <w:spacing w:after="0"/>
              <w:rPr>
                <w:sz w:val="1"/>
                <w:szCs w:val="1"/>
                <w:color w:val="auto"/>
              </w:rPr>
            </w:pP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w w:val="96"/>
              </w:rPr>
              <w:t>Cost of revenues (exclusive of depreciation and amortization shown separately</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below)</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187,246</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59,807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16,168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52,351</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68,765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34,433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29,678</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32,359</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45,187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3,903</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Financing expenses</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Profit (loss) before taxes on income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3,588</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6,224</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differences for foreign operation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0.056</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720" w:hanging="422"/>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January 1, 2020, we recognize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Operations—Critical Accounting Policies, Judgments and Estimates—Revenue Recognition</w:t>
      </w:r>
      <w:r>
        <w:rPr>
          <w:rFonts w:ascii="Arial" w:cs="Arial" w:eastAsia="Arial" w:hAnsi="Arial"/>
          <w:sz w:val="18"/>
          <w:szCs w:val="18"/>
          <w:color w:val="auto"/>
        </w:rPr>
        <w:t>” for information regarding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presentation change.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 of Financial Position Data</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42"/>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Actual</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Adjusted</w:t>
            </w:r>
            <w:r>
              <w:rPr>
                <w:rFonts w:ascii="Arial" w:cs="Arial" w:eastAsia="Arial" w:hAnsi="Arial"/>
                <w:sz w:val="12"/>
                <w:szCs w:val="12"/>
                <w:b w:val="1"/>
                <w:bCs w:val="1"/>
                <w:color w:val="auto"/>
                <w:w w:val="91"/>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34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$ 97,463</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assets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550,651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221,638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Total equity</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329,013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(1)  AsAdjusted to give effect to the sale by us of</w:t>
            </w:r>
          </w:p>
        </w:tc>
        <w:tc>
          <w:tcPr>
            <w:tcW w:w="3540" w:type="dxa"/>
            <w:vAlign w:val="bottom"/>
            <w:gridSpan w:val="4"/>
          </w:tcPr>
          <w:p>
            <w:pPr>
              <w:jc w:val="right"/>
              <w:ind w:right="60"/>
              <w:spacing w:after="0"/>
              <w:rPr>
                <w:sz w:val="20"/>
                <w:szCs w:val="20"/>
                <w:color w:val="auto"/>
              </w:rPr>
            </w:pPr>
            <w:r>
              <w:rPr>
                <w:rFonts w:ascii="Arial" w:cs="Arial" w:eastAsia="Arial" w:hAnsi="Arial"/>
                <w:sz w:val="18"/>
                <w:szCs w:val="18"/>
                <w:color w:val="auto"/>
                <w:w w:val="97"/>
              </w:rPr>
              <w:t>ordinary shares at a public offering price of $</w:t>
            </w:r>
          </w:p>
        </w:tc>
        <w:tc>
          <w:tcPr>
            <w:tcW w:w="3100" w:type="dxa"/>
            <w:vAlign w:val="bottom"/>
            <w:gridSpan w:val="5"/>
          </w:tcPr>
          <w:p>
            <w:pPr>
              <w:jc w:val="right"/>
              <w:spacing w:after="0"/>
              <w:rPr>
                <w:sz w:val="20"/>
                <w:szCs w:val="20"/>
                <w:color w:val="auto"/>
              </w:rPr>
            </w:pPr>
            <w:r>
              <w:rPr>
                <w:rFonts w:ascii="Arial" w:cs="Arial" w:eastAsia="Arial" w:hAnsi="Arial"/>
                <w:sz w:val="18"/>
                <w:szCs w:val="18"/>
                <w:color w:val="auto"/>
              </w:rPr>
              <w:t>per ADS, the U.S. dollar equivalent</w:t>
            </w:r>
          </w:p>
        </w:tc>
      </w:tr>
      <w:tr>
        <w:trPr>
          <w:trHeight w:val="216"/>
        </w:trPr>
        <w:tc>
          <w:tcPr>
            <w:tcW w:w="4960" w:type="dxa"/>
            <w:vAlign w:val="bottom"/>
            <w:gridSpan w:val="3"/>
          </w:tcPr>
          <w:p>
            <w:pPr>
              <w:ind w:left="580"/>
              <w:spacing w:after="0"/>
              <w:rPr>
                <w:sz w:val="20"/>
                <w:szCs w:val="20"/>
                <w:color w:val="auto"/>
              </w:rPr>
            </w:pPr>
            <w:r>
              <w:rPr>
                <w:rFonts w:ascii="Arial" w:cs="Arial" w:eastAsia="Arial" w:hAnsi="Arial"/>
                <w:sz w:val="18"/>
                <w:szCs w:val="18"/>
                <w:color w:val="auto"/>
              </w:rPr>
              <w:t>of the closing price of our ordinary shares on AIM of £</w:t>
            </w:r>
          </w:p>
        </w:tc>
        <w:tc>
          <w:tcPr>
            <w:tcW w:w="1280" w:type="dxa"/>
            <w:vAlign w:val="bottom"/>
          </w:tcPr>
          <w:p>
            <w:pPr>
              <w:ind w:left="320"/>
              <w:spacing w:after="0"/>
              <w:rPr>
                <w:sz w:val="20"/>
                <w:szCs w:val="20"/>
                <w:color w:val="auto"/>
              </w:rPr>
            </w:pPr>
            <w:r>
              <w:rPr>
                <w:rFonts w:ascii="Arial" w:cs="Arial" w:eastAsia="Arial" w:hAnsi="Arial"/>
                <w:sz w:val="18"/>
                <w:szCs w:val="18"/>
                <w:color w:val="auto"/>
              </w:rPr>
              <w:t>on</w:t>
            </w:r>
          </w:p>
        </w:tc>
        <w:tc>
          <w:tcPr>
            <w:tcW w:w="4380" w:type="dxa"/>
            <w:vAlign w:val="bottom"/>
            <w:gridSpan w:val="7"/>
          </w:tcPr>
          <w:p>
            <w:pPr>
              <w:jc w:val="right"/>
              <w:spacing w:after="0"/>
              <w:rPr>
                <w:sz w:val="20"/>
                <w:szCs w:val="20"/>
                <w:color w:val="auto"/>
              </w:rPr>
            </w:pPr>
            <w:r>
              <w:rPr>
                <w:rFonts w:ascii="Arial" w:cs="Arial" w:eastAsia="Arial" w:hAnsi="Arial"/>
                <w:sz w:val="18"/>
                <w:szCs w:val="18"/>
                <w:color w:val="auto"/>
                <w:w w:val="91"/>
              </w:rPr>
              <w:t>, 2021 (based on an assumed exchange rate of £1.00 to $1.</w:t>
            </w:r>
          </w:p>
        </w:tc>
      </w:tr>
      <w:tr>
        <w:trPr>
          <w:trHeight w:val="230"/>
        </w:trPr>
        <w:tc>
          <w:tcPr>
            <w:tcW w:w="10620" w:type="dxa"/>
            <w:vAlign w:val="bottom"/>
            <w:gridSpan w:val="11"/>
          </w:tcPr>
          <w:p>
            <w:pPr>
              <w:jc w:val="right"/>
              <w:ind w:right="1580"/>
              <w:spacing w:after="0"/>
              <w:rPr>
                <w:sz w:val="20"/>
                <w:szCs w:val="20"/>
                <w:color w:val="auto"/>
              </w:rPr>
            </w:pPr>
            <w:r>
              <w:rPr>
                <w:rFonts w:ascii="Arial" w:cs="Arial" w:eastAsia="Arial" w:hAnsi="Arial"/>
                <w:sz w:val="18"/>
                <w:szCs w:val="18"/>
                <w:color w:val="auto"/>
              </w:rPr>
              <w:t>), after deducting the underwriting discounts and commissions and estimated offering expenses payable by us.</w:t>
            </w:r>
          </w:p>
        </w:tc>
      </w:tr>
      <w:tr>
        <w:trPr>
          <w:trHeight w:val="648"/>
        </w:trPr>
        <w:tc>
          <w:tcPr>
            <w:tcW w:w="1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60" w:type="dxa"/>
            <w:vAlign w:val="bottom"/>
            <w:gridSpan w:val="2"/>
          </w:tcPr>
          <w:p>
            <w:pPr>
              <w:ind w:left="520"/>
              <w:spacing w:after="0"/>
              <w:rPr>
                <w:sz w:val="20"/>
                <w:szCs w:val="20"/>
                <w:color w:val="auto"/>
              </w:rPr>
            </w:pPr>
            <w:r>
              <w:rPr>
                <w:rFonts w:ascii="Arial" w:cs="Arial" w:eastAsia="Arial" w:hAnsi="Arial"/>
                <w:sz w:val="18"/>
                <w:szCs w:val="18"/>
                <w:b w:val="1"/>
                <w:bCs w:val="1"/>
                <w:color w:val="auto"/>
                <w:w w:val="98"/>
              </w:rPr>
              <w:t>Other Financial Data</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5"/>
          </w:tcPr>
          <w:p>
            <w:pPr>
              <w:jc w:val="right"/>
              <w:ind w:right="1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280" w:type="dxa"/>
            <w:vAlign w:val="bottom"/>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1"/>
              </w:rPr>
              <w:t>2019</w:t>
            </w:r>
            <w:r>
              <w:rPr>
                <w:rFonts w:ascii="Arial" w:cs="Arial" w:eastAsia="Arial" w:hAnsi="Arial"/>
                <w:sz w:val="12"/>
                <w:szCs w:val="12"/>
                <w:b w:val="1"/>
                <w:bCs w:val="1"/>
                <w:color w:val="auto"/>
                <w:w w:val="91"/>
              </w:rPr>
              <w:t>(1)</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260" w:type="dxa"/>
            <w:vAlign w:val="bottom"/>
          </w:tcPr>
          <w:p>
            <w:pPr>
              <w:spacing w:after="0"/>
              <w:rPr>
                <w:sz w:val="12"/>
                <w:szCs w:val="12"/>
                <w:color w:val="auto"/>
              </w:rPr>
            </w:pPr>
          </w:p>
        </w:tc>
      </w:tr>
      <w:tr>
        <w:trPr>
          <w:trHeight w:val="196"/>
        </w:trPr>
        <w:tc>
          <w:tcPr>
            <w:tcW w:w="1280" w:type="dxa"/>
            <w:vAlign w:val="bottom"/>
          </w:tcPr>
          <w:p>
            <w:pPr>
              <w:spacing w:after="0"/>
              <w:rPr>
                <w:sz w:val="17"/>
                <w:szCs w:val="17"/>
                <w:color w:val="auto"/>
              </w:rPr>
            </w:pPr>
          </w:p>
        </w:tc>
        <w:tc>
          <w:tcPr>
            <w:tcW w:w="2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IFRS measures</w:t>
            </w:r>
          </w:p>
        </w:tc>
        <w:tc>
          <w:tcPr>
            <w:tcW w:w="9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rPr>
              <w:t>Revenue (in thousands)</w:t>
            </w:r>
            <w:r>
              <w:rPr>
                <w:rFonts w:ascii="Arial" w:cs="Arial" w:eastAsia="Arial" w:hAnsi="Arial"/>
                <w:sz w:val="15"/>
                <w:szCs w:val="15"/>
                <w:color w:val="auto"/>
              </w:rPr>
              <w:t>(2)</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80" w:type="dxa"/>
            <w:vAlign w:val="bottom"/>
            <w:gridSpan w:val="4"/>
          </w:tcPr>
          <w:p>
            <w:pPr>
              <w:jc w:val="right"/>
              <w:ind w:right="520"/>
              <w:spacing w:after="0"/>
              <w:rPr>
                <w:sz w:val="20"/>
                <w:szCs w:val="20"/>
                <w:color w:val="auto"/>
              </w:rPr>
            </w:pPr>
            <w:r>
              <w:rPr>
                <w:rFonts w:ascii="Arial" w:cs="Arial" w:eastAsia="Arial" w:hAnsi="Arial"/>
                <w:sz w:val="18"/>
                <w:szCs w:val="18"/>
                <w:color w:val="auto"/>
              </w:rPr>
              <w:t>$325,760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211,920</w:t>
            </w:r>
          </w:p>
        </w:tc>
        <w:tc>
          <w:tcPr>
            <w:tcW w:w="12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w:t>
            </w: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2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rPr>
              <w:t>Net profit margin</w:t>
            </w:r>
            <w:r>
              <w:rPr>
                <w:rFonts w:ascii="Arial" w:cs="Arial" w:eastAsia="Arial" w:hAnsi="Arial"/>
                <w:sz w:val="15"/>
                <w:szCs w:val="15"/>
                <w:color w:val="auto"/>
              </w:rPr>
              <w:t>(3)</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7"/>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Non-IFRS measures</w:t>
            </w: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w w:val="98"/>
              </w:rPr>
              <w:t>Net revenue (in thousands)</w:t>
            </w:r>
            <w:r>
              <w:rPr>
                <w:rFonts w:ascii="Arial" w:cs="Arial" w:eastAsia="Arial" w:hAnsi="Arial"/>
                <w:sz w:val="15"/>
                <w:szCs w:val="15"/>
                <w:color w:val="auto"/>
                <w:w w:val="98"/>
              </w:rPr>
              <w:t>(4)</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80" w:type="dxa"/>
            <w:vAlign w:val="bottom"/>
            <w:gridSpan w:val="4"/>
          </w:tcPr>
          <w:p>
            <w:pPr>
              <w:jc w:val="right"/>
              <w:ind w:right="520"/>
              <w:spacing w:after="0"/>
              <w:rPr>
                <w:sz w:val="20"/>
                <w:szCs w:val="20"/>
                <w:color w:val="auto"/>
              </w:rPr>
            </w:pPr>
            <w:r>
              <w:rPr>
                <w:rFonts w:ascii="Arial" w:cs="Arial" w:eastAsia="Arial" w:hAnsi="Arial"/>
                <w:sz w:val="18"/>
                <w:szCs w:val="18"/>
                <w:color w:val="auto"/>
              </w:rPr>
              <w:t>$164,038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184,282</w:t>
            </w:r>
          </w:p>
        </w:tc>
        <w:tc>
          <w:tcPr>
            <w:tcW w:w="12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(5)</w:t>
            </w:r>
            <w:r>
              <w:rPr>
                <w:rFonts w:ascii="Arial" w:cs="Arial" w:eastAsia="Arial" w:hAnsi="Arial"/>
                <w:sz w:val="18"/>
                <w:szCs w:val="18"/>
                <w:color w:val="auto"/>
              </w:rPr>
              <w:t xml:space="preserve"> (in thousands)</w:t>
            </w:r>
          </w:p>
        </w:tc>
        <w:tc>
          <w:tcPr>
            <w:tcW w:w="1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60,513</w:t>
            </w:r>
          </w:p>
        </w:tc>
        <w:tc>
          <w:tcPr>
            <w:tcW w:w="12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(6)</w:t>
            </w: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57"/>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1260" w:type="dxa"/>
            <w:vAlign w:val="bottom"/>
          </w:tcPr>
          <w:p>
            <w:pPr>
              <w:spacing w:after="0"/>
              <w:rPr>
                <w:sz w:val="20"/>
                <w:szCs w:val="20"/>
                <w:color w:val="auto"/>
              </w:rPr>
            </w:pPr>
          </w:p>
        </w:tc>
      </w:tr>
    </w:tbl>
    <w:p>
      <w:pPr>
        <w:spacing w:after="0" w:line="214" w:lineRule="exact"/>
        <w:rPr>
          <w:sz w:val="20"/>
          <w:szCs w:val="20"/>
          <w:color w:val="auto"/>
        </w:rPr>
      </w:pPr>
    </w:p>
    <w:p>
      <w:pPr>
        <w:jc w:val="both"/>
        <w:ind w:left="720" w:hanging="422"/>
        <w:spacing w:after="0" w:line="25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January 1, 2020, we recognize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Operations—Critical Accounting Policies, Judgments and Estimates—Revenue Recognition</w:t>
      </w:r>
      <w:r>
        <w:rPr>
          <w:rFonts w:ascii="Arial" w:cs="Arial" w:eastAsia="Arial" w:hAnsi="Arial"/>
          <w:sz w:val="18"/>
          <w:szCs w:val="18"/>
          <w:color w:val="auto"/>
        </w:rPr>
        <w:t>” for information regarding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presentation change.</w:t>
      </w:r>
    </w:p>
    <w:p>
      <w:pPr>
        <w:spacing w:after="0" w:line="2" w:lineRule="exact"/>
        <w:rPr>
          <w:rFonts w:ascii="Arial" w:cs="Arial" w:eastAsia="Arial" w:hAnsi="Arial"/>
          <w:sz w:val="18"/>
          <w:szCs w:val="18"/>
          <w:color w:val="auto"/>
        </w:rPr>
      </w:pPr>
    </w:p>
    <w:p>
      <w:pPr>
        <w:ind w:left="720" w:right="20" w:hanging="422"/>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revenue for 2019 had been presented on a comparable basis to facilitate comparability, total revenue for the year ended December 31, 2019 would be $208,459 thousand.</w:t>
      </w:r>
    </w:p>
    <w:p>
      <w:pPr>
        <w:ind w:left="720" w:hanging="422"/>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revenue for 2019 had been presented on a comparable basis to facilitate comparability, net profit margin for the year ended December 31, 2019 would be 3%.</w:t>
      </w:r>
    </w:p>
    <w:p>
      <w:pPr>
        <w:ind w:left="720" w:hanging="422"/>
        <w:spacing w:after="0" w:line="26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revenue is a supplemental measure of our financial performance that is not required by, or presented in accordance with, IFRS. Net revenue should not be considered as an alternative to revenue as a measure of financial performance.</w:t>
      </w:r>
    </w:p>
    <w:p>
      <w:pPr>
        <w:spacing w:after="0" w:line="185" w:lineRule="exact"/>
        <w:rPr>
          <w:rFonts w:ascii="Arial" w:cs="Arial" w:eastAsia="Arial" w:hAnsi="Arial"/>
          <w:sz w:val="18"/>
          <w:szCs w:val="18"/>
          <w:color w:val="auto"/>
        </w:rPr>
      </w:pPr>
    </w:p>
    <w:p>
      <w:pPr>
        <w:jc w:val="both"/>
        <w:ind w:left="720"/>
        <w:spacing w:after="0" w:line="275" w:lineRule="auto"/>
        <w:rPr>
          <w:rFonts w:ascii="Arial" w:cs="Arial" w:eastAsia="Arial" w:hAnsi="Arial"/>
          <w:sz w:val="18"/>
          <w:szCs w:val="18"/>
          <w:color w:val="auto"/>
        </w:rPr>
      </w:pPr>
      <w:r>
        <w:rPr>
          <w:rFonts w:ascii="Arial" w:cs="Arial" w:eastAsia="Arial" w:hAnsi="Arial"/>
          <w:sz w:val="17"/>
          <w:szCs w:val="17"/>
          <w:color w:val="auto"/>
        </w:rPr>
        <w:t>Net revenue is defined as our revenue calculated on a net basis by excluding the media cost for both Programmatic and Performance activities. Net revenue is included in this prospectus because it is a key metric used by management and our board of directors to assess our financial performance. Net revenue is frequently used by analysts, investors and other interested parties to evaluate companies in our industry. Management believes that Net revenue is an appropriate measure of operating performance because it eliminates the impact of expenses that do not relate directly to the performance of the underlying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21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following table reconciles Net revenue to the most directly comparable IFRS financial performance measure, which is Revenue:</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1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 Revenues (as reported)</w:t>
            </w:r>
            <w:r>
              <w:rPr>
                <w:rFonts w:ascii="Arial" w:cs="Arial" w:eastAsia="Arial" w:hAnsi="Arial"/>
                <w:sz w:val="15"/>
                <w:szCs w:val="15"/>
                <w:b w:val="1"/>
                <w:bCs w:val="1"/>
                <w:color w:val="auto"/>
              </w:rPr>
              <w:t>(a)</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Programmatic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$ 241,464</w:t>
            </w:r>
          </w:p>
        </w:tc>
        <w:tc>
          <w:tcPr>
            <w:tcW w:w="5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$161,625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84,296</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50,295</w:t>
            </w:r>
          </w:p>
        </w:tc>
        <w:tc>
          <w:tcPr>
            <w:tcW w:w="0" w:type="dxa"/>
            <w:vAlign w:val="bottom"/>
          </w:tcPr>
          <w:p>
            <w:pPr>
              <w:spacing w:after="0"/>
              <w:rPr>
                <w:sz w:val="1"/>
                <w:szCs w:val="1"/>
                <w:color w:val="auto"/>
              </w:rPr>
            </w:pPr>
          </w:p>
        </w:tc>
      </w:tr>
      <w:tr>
        <w:trPr>
          <w:trHeight w:val="228"/>
        </w:trPr>
        <w:tc>
          <w:tcPr>
            <w:tcW w:w="5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325,760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(ii) Programmatic media cost</w:t>
            </w:r>
            <w:r>
              <w:rPr>
                <w:rFonts w:ascii="Arial" w:cs="Arial" w:eastAsia="Arial" w:hAnsi="Arial"/>
                <w:sz w:val="15"/>
                <w:szCs w:val="15"/>
                <w:b w:val="1"/>
                <w:bCs w:val="1"/>
                <w:color w:val="auto"/>
              </w:rPr>
              <w:t>(b)</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Programmatic</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(117,301)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(iii) = (i) + (ii) Revenues on comparable basis</w:t>
            </w:r>
            <w:r>
              <w:rPr>
                <w:rFonts w:ascii="Arial" w:cs="Arial" w:eastAsia="Arial" w:hAnsi="Arial"/>
                <w:sz w:val="15"/>
                <w:szCs w:val="15"/>
                <w:b w:val="1"/>
                <w:bCs w:val="1"/>
                <w:color w:val="auto"/>
              </w:rPr>
              <w:t>(c)</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Programmatic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124,163</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161,625</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Performance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84,296</w:t>
            </w:r>
          </w:p>
        </w:tc>
        <w:tc>
          <w:tcPr>
            <w:tcW w:w="5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50,295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208,459</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211,920</w:t>
            </w: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(iv) Performance media cost</w:t>
            </w:r>
            <w:r>
              <w:rPr>
                <w:rFonts w:ascii="Arial" w:cs="Arial" w:eastAsia="Arial" w:hAnsi="Arial"/>
                <w:sz w:val="15"/>
                <w:szCs w:val="15"/>
                <w:b w:val="1"/>
                <w:bCs w:val="1"/>
                <w:color w:val="auto"/>
              </w:rPr>
              <w:t>(d)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Programmatic</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Performance</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(44,421)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(27,637)</w:t>
            </w:r>
          </w:p>
        </w:tc>
        <w:tc>
          <w:tcPr>
            <w:tcW w:w="0" w:type="dxa"/>
            <w:vAlign w:val="bottom"/>
          </w:tcPr>
          <w:p>
            <w:pPr>
              <w:spacing w:after="0"/>
              <w:rPr>
                <w:sz w:val="1"/>
                <w:szCs w:val="1"/>
                <w:color w:val="auto"/>
              </w:rPr>
            </w:pPr>
          </w:p>
        </w:tc>
      </w:tr>
      <w:tr>
        <w:trPr>
          <w:trHeight w:val="202"/>
        </w:trPr>
        <w:tc>
          <w:tcPr>
            <w:tcW w:w="5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 = (iii) + (iv) Net Revenues</w:t>
            </w:r>
            <w:r>
              <w:rPr>
                <w:rFonts w:ascii="Arial" w:cs="Arial" w:eastAsia="Arial" w:hAnsi="Arial"/>
                <w:sz w:val="15"/>
                <w:szCs w:val="15"/>
                <w:b w:val="1"/>
                <w:bCs w:val="1"/>
                <w:color w:val="auto"/>
              </w:rPr>
              <w:t>(e)</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Programmatic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124,163</w:t>
            </w:r>
          </w:p>
        </w:tc>
        <w:tc>
          <w:tcPr>
            <w:tcW w:w="5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161,625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39,875</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22,657</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$ 164,038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184,282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240" w:hanging="523"/>
        <w:spacing w:after="0" w:line="255"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year ended December 31, 2019, our audited revenue consists of (i) Programmatic revenue that is recognized on a gross basis (which includes the Programmatic media cost as defined below) and (ii) Performance revenue that is recognized on a gross basis (which includes the Performance media cost as defined below).</w:t>
      </w:r>
    </w:p>
    <w:p>
      <w:pPr>
        <w:spacing w:after="0" w:line="2" w:lineRule="exact"/>
        <w:rPr>
          <w:rFonts w:ascii="Arial" w:cs="Arial" w:eastAsia="Arial" w:hAnsi="Arial"/>
          <w:sz w:val="18"/>
          <w:szCs w:val="18"/>
          <w:color w:val="auto"/>
        </w:rPr>
      </w:pPr>
    </w:p>
    <w:p>
      <w:pPr>
        <w:ind w:left="1240" w:right="20"/>
        <w:spacing w:after="0" w:line="281" w:lineRule="auto"/>
        <w:rPr>
          <w:rFonts w:ascii="Arial" w:cs="Arial" w:eastAsia="Arial" w:hAnsi="Arial"/>
          <w:sz w:val="18"/>
          <w:szCs w:val="18"/>
          <w:color w:val="auto"/>
        </w:rPr>
      </w:pPr>
      <w:r>
        <w:rPr>
          <w:rFonts w:ascii="Arial" w:cs="Arial" w:eastAsia="Arial" w:hAnsi="Arial"/>
          <w:sz w:val="16"/>
          <w:szCs w:val="16"/>
          <w:color w:val="auto"/>
        </w:rPr>
        <w:t>For the year ended December 31, 2020, our audited revenue consists of (i) Programmatic revenue that is recognized on a net basis (which excludes the Programmatic media cost as defined below) and (ii) Performance revenue that is recognized on a gross basis.</w:t>
      </w:r>
    </w:p>
    <w:p>
      <w:pPr>
        <w:spacing w:after="0" w:line="1" w:lineRule="exact"/>
        <w:rPr>
          <w:rFonts w:ascii="Arial" w:cs="Arial" w:eastAsia="Arial" w:hAnsi="Arial"/>
          <w:sz w:val="18"/>
          <w:szCs w:val="18"/>
          <w:color w:val="auto"/>
        </w:rPr>
      </w:pPr>
    </w:p>
    <w:p>
      <w:pPr>
        <w:ind w:left="1240" w:right="20"/>
        <w:spacing w:after="0" w:line="250" w:lineRule="auto"/>
        <w:rPr>
          <w:rFonts w:ascii="Arial" w:cs="Arial" w:eastAsia="Arial" w:hAnsi="Arial"/>
          <w:sz w:val="18"/>
          <w:szCs w:val="18"/>
          <w:color w:val="auto"/>
        </w:rPr>
      </w:pPr>
      <w:r>
        <w:rPr>
          <w:rFonts w:ascii="Arial" w:cs="Arial" w:eastAsia="Arial" w:hAnsi="Arial"/>
          <w:sz w:val="18"/>
          <w:szCs w:val="18"/>
          <w:color w:val="auto"/>
        </w:rPr>
        <w:t>For information regarding the revenue recognition presentation change of our Programmatic revenue, see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Judgments and Estimates—Revenue Recognition</w:t>
      </w:r>
      <w:r>
        <w:rPr>
          <w:rFonts w:ascii="Arial" w:cs="Arial" w:eastAsia="Arial" w:hAnsi="Arial"/>
          <w:sz w:val="18"/>
          <w:szCs w:val="18"/>
          <w:color w:val="auto"/>
        </w:rPr>
        <w:t>”.</w:t>
      </w:r>
    </w:p>
    <w:p>
      <w:pPr>
        <w:ind w:left="1240" w:right="20" w:hanging="523"/>
        <w:spacing w:after="0" w:line="250"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costs of acquiring publishers’ advertising space that is purchased by advertisers via our Programmatic end-to-end solution.</w:t>
      </w:r>
    </w:p>
    <w:p>
      <w:pPr>
        <w:ind w:left="1240" w:right="20" w:hanging="523"/>
        <w:spacing w:after="0" w:line="250"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our results of operations for the years ended December 31, 2020 and 2019 on an audited basis for 2020 and, to facilitate comparability, on a comparable basis for 2019 (which excludes the Programmatic media cost).</w:t>
      </w:r>
    </w:p>
    <w:p>
      <w:pPr>
        <w:ind w:left="1240" w:right="20" w:hanging="523"/>
        <w:spacing w:after="0" w:line="250"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traffic acquisition costs which consist of purchases of impressions from publishers on a cost per thousand impression basis in our Performance activities.</w:t>
      </w:r>
    </w:p>
    <w:p>
      <w:pPr>
        <w:ind w:left="1240" w:hanging="523"/>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our revenue calculated on a net basis for both Programmatic and Performance activities.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 w:hanging="422"/>
        <w:spacing w:after="0" w:line="342"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is a supplemental measure of our performance that is not required by, or presented in accordance with, IFRS. Adjusted EBITDA should not be considered as an alternative to total comprehensive income for the year as a measure of financial performance.</w:t>
      </w:r>
    </w:p>
    <w:p>
      <w:pPr>
        <w:spacing w:after="0" w:line="15" w:lineRule="exact"/>
        <w:rPr>
          <w:rFonts w:ascii="Arial" w:cs="Arial" w:eastAsia="Arial" w:hAnsi="Arial"/>
          <w:sz w:val="16"/>
          <w:szCs w:val="16"/>
          <w:color w:val="auto"/>
        </w:rPr>
      </w:pPr>
    </w:p>
    <w:p>
      <w:pPr>
        <w:jc w:val="both"/>
        <w:ind w:left="720"/>
        <w:spacing w:after="0" w:line="293" w:lineRule="auto"/>
        <w:rPr>
          <w:rFonts w:ascii="Arial" w:cs="Arial" w:eastAsia="Arial" w:hAnsi="Arial"/>
          <w:sz w:val="16"/>
          <w:szCs w:val="16"/>
          <w:color w:val="auto"/>
        </w:rPr>
      </w:pPr>
      <w:r>
        <w:rPr>
          <w:rFonts w:ascii="Arial" w:cs="Arial" w:eastAsia="Arial" w:hAnsi="Arial"/>
          <w:sz w:val="16"/>
          <w:szCs w:val="16"/>
          <w:color w:val="auto"/>
        </w:rPr>
        <w:t>Adjusted EBITDA is defined as total comprehensive income for the year adjusted for foreign currency translation differences for foreign operations, financing expenses, net, tax benefit, depreciation and amortization, stock-based compensation, restructuring and acquisition-related costs and other expenses (income), net. Adjusted EBITDA is included in this prospectus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56" w:lineRule="exact"/>
        <w:rPr>
          <w:rFonts w:ascii="Arial" w:cs="Arial" w:eastAsia="Arial" w:hAnsi="Arial"/>
          <w:sz w:val="16"/>
          <w:szCs w:val="16"/>
          <w:color w:val="auto"/>
        </w:rPr>
      </w:pPr>
    </w:p>
    <w:p>
      <w:pPr>
        <w:jc w:val="both"/>
        <w:ind w:left="720"/>
        <w:spacing w:after="0" w:line="253" w:lineRule="auto"/>
        <w:rPr>
          <w:rFonts w:ascii="Arial" w:cs="Arial" w:eastAsia="Arial" w:hAnsi="Arial"/>
          <w:sz w:val="16"/>
          <w:szCs w:val="16"/>
          <w:color w:val="auto"/>
        </w:rPr>
      </w:pPr>
      <w:r>
        <w:rPr>
          <w:rFonts w:ascii="Arial" w:cs="Arial" w:eastAsia="Arial" w:hAnsi="Arial"/>
          <w:sz w:val="18"/>
          <w:szCs w:val="18"/>
          <w:color w:val="auto"/>
        </w:rPr>
        <w:t>Adjusted EBITDA is not an IFRS measure of our financial performance or liquidity and should not be considered as an alternative to total comprehensive income for the year as a measure of financial performance, as an alternative to cash flows from operations as a measure of liquidity, or as an alternative to any other performance measure derived in accordance with IFRS. Adjusted EBITDA should not be construed as an inference that our future results will be unaffected by unusual or other items. Additionally, Adjusted EBITDA is not intended to be a measure of free cash flow for management’s discretionary use, as it does not reflect our tax payments and certain other cash costs that may recur in the future, including, among other things, cash requirements for costs to replace assets being depreciated and amortized. Management compensates for these limitations by relying on our IFRS results in addition to using Adjusted EBITDA as a supplemental measure. Our measure of Adjusted EBITDA is not necessarily comparable to similarly titled captions of other companies due to different methods of calculation.</w:t>
      </w:r>
    </w:p>
    <w:p>
      <w:pPr>
        <w:spacing w:after="0" w:line="88" w:lineRule="exact"/>
        <w:rPr>
          <w:rFonts w:ascii="Arial" w:cs="Arial" w:eastAsia="Arial" w:hAnsi="Arial"/>
          <w:sz w:val="16"/>
          <w:szCs w:val="16"/>
          <w:color w:val="auto"/>
        </w:rPr>
      </w:pPr>
    </w:p>
    <w:p>
      <w:pPr>
        <w:ind w:left="720"/>
        <w:spacing w:after="0" w:line="277" w:lineRule="auto"/>
        <w:rPr>
          <w:rFonts w:ascii="Arial" w:cs="Arial" w:eastAsia="Arial" w:hAnsi="Arial"/>
          <w:sz w:val="16"/>
          <w:szCs w:val="16"/>
          <w:color w:val="auto"/>
        </w:rPr>
      </w:pPr>
      <w:r>
        <w:rPr>
          <w:rFonts w:ascii="Arial" w:cs="Arial" w:eastAsia="Arial" w:hAnsi="Arial"/>
          <w:sz w:val="18"/>
          <w:szCs w:val="18"/>
          <w:color w:val="auto"/>
        </w:rPr>
        <w:t>The following table reconciles Adjusted EBITDA to the most directly comparable IFRS financial performance measure, which is total comprehensive income for the year:</w:t>
      </w:r>
    </w:p>
    <w:p>
      <w:pPr>
        <w:spacing w:after="0" w:line="189"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Year Ended</w:t>
      </w:r>
    </w:p>
    <w:p>
      <w:pPr>
        <w:jc w:val="center"/>
        <w:ind w:left="61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580" w:type="dxa"/>
        <w:tblCellMar>
          <w:top w:w="0" w:type="dxa"/>
          <w:left w:w="0" w:type="dxa"/>
          <w:bottom w:w="0" w:type="dxa"/>
          <w:right w:w="0" w:type="dxa"/>
        </w:tblCellMar>
      </w:tblPr>
      <w:tr>
        <w:trPr>
          <w:trHeight w:val="142"/>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for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Foreign currency translation differences for foreign operation</w:t>
            </w: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(2,836)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on income</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4"/>
              </w:rPr>
              <w:t>(2,636)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(9,581)</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Financial income, net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7"/>
              </w:rPr>
              <w:t>32,359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45,187</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w w:val="87"/>
              </w:rPr>
              <w:t>15,809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14,490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5,500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60,411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60,513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20" w:hanging="42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Margin means Adjusted EBITDA calculated as a percentage of net revenue.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Additional risks not presently known to us or that we currently deem immaterial may also impair our business operations. Our business, financial condition or results of operations could be materially and adversely affected by any of these risks. The trading price and value of our ADSs could decline due to any of these risks, and you may lose all or part of your investment. This prospectus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Our success and revenue growth is dependent on adding new advertisers and publishers, effectively educating and training our existing advertisers and publishers on how to make full use of our platform and increasing usage of our platform by advertisers and publishers.</w:t>
      </w:r>
    </w:p>
    <w:p>
      <w:pPr>
        <w:spacing w:after="0" w:line="1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Our success is dependent on regularly adding new advertisers and publishers and increasing their usage of our platform. Our contracts and relationships with advertisers and publishers generally do not include long-term or exclusive obligations requiring them to use our platform or maintain or increase their use of our platform. Advertisers and publishers typically have relationships with numerous providers and can use both our platform and those of our competitors without incurring significant costs or disruption. They may also choose to decrease their overall advertising spend for any reason, including if they do not believe they are receiving a sufficient return. Accordingly, we must continually work to add new advertisers and publishers to our customer base, retain our existing advertisers and publishers, increase their usage of our platform and capture a larger share of their advertising spend.</w:t>
      </w:r>
    </w:p>
    <w:p>
      <w:pPr>
        <w:spacing w:after="0" w:line="19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may not be successful at educating and training advertisers and publishers, especially new ones, on how to use our platform in order for them to most benefit from our platform and increase their usage. If these efforts are unsuccessful or advertisers or publishers decide not to maintain or increase their usage of our platform for any other reason, or if we fail to attract new advertisers or publishers, our revenue could fail to grow or may decline, which would materially and adversely harm our business, operating results and financial condition.</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maintain and expand access to advertising spend, including spend from a limited number of DSPs, agencies and advertisers.</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Our business depends on our ability to maintain and expand our access to advertising spend from advertisers through DSPs, as well as agencies and direct advertisers (that execute their purchases through DSPs), to purchase impressions from our publishers. A limited number of large advertising customers account for a significant portion of our revenue, and in particular one DSP customer, which accounted for approximately 10% of our revenue for the year ended December 31, 2020. Our agreements with most DSPs automatically renew each year for successive one-year terms. However either party may generally terminate for convenience upon providing 30 day prior written notice. We expect to depend upon these few DSPs for a large percentage of impressions purchased for the foreseeable future. Any disruptions in our relationships with DSPs, agencies or advertisers could harm our business, results of operations and financial condition. To support our continued growth, we will seek to expand upon current levels of utilization with these DSPs, agencies and advertisers.</w:t>
      </w:r>
    </w:p>
    <w:p>
      <w:pPr>
        <w:spacing w:after="0" w:line="178"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In general, we have no minimum commitments from advertisers, agencies or DSPs to spend on our platform, so the amount of demand available to us can change at any time, and we cannot assure you that we will have access to a consistent volume or quality of advertising spend or demand. If an advertiser or DSP representing a significant portion of the demand in our platform decides to materially reduce use of our services, it could cause an immediate and significant decline in our revenue and profitability and adversely affect our business, results of operations and financial condition.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business depends on our ability to maintain and expand access to valuable inventory from publishers, including our largest publishers.</w:t>
      </w:r>
    </w:p>
    <w:p>
      <w:pPr>
        <w:spacing w:after="0" w:line="14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business depends on our access to valuable advertising inventory. We depend upon publishers, including channel partners, which aggregate large numbers of smaller publishers, to provide advertising inventory which we can offer to prospective advertisers. A relatively small number of publishers have historically accounted for a significant portion of the advertising inventory sold on our platform, as well as a significant portion of our revenue, including a relatively small number of channel partners. To support our continued growth, we will seek to add additional publishers to our platform and to expand current utilization with our existing publishers.</w:t>
      </w:r>
    </w:p>
    <w:p>
      <w:pPr>
        <w:spacing w:after="0" w:line="188"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general, our relationships with publishers do not contain minimum commitments, so the amount, quality and cost of inventory available on our platform can change at any time, and we cannot assure you that we will have access to a consistent volume or quality of inventory at a reasonable cost, or at all. Any disruptions in our relationships with publishers or our largest channel partners could adversely affect our business, results of operations and financial condition. If we cannot retain or add individual publishers with valuable inventory, or if such publishers decide not to make their valuable inventory available on our platform, then our advertisers may be less inclined to use our platform, which could adversely affect our business, results of operations and financial condition.</w:t>
      </w:r>
    </w:p>
    <w:p>
      <w:pPr>
        <w:spacing w:after="0" w:line="30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If we fail to make the right investment decisions in our platform, or if we fail to innovate and develop new solutions that are adopted by advertisers and publishers, we may not attract and retain advertisers and publishers, which could have an adverse effect on our business, results of operations and financial condition.</w:t>
      </w:r>
    </w:p>
    <w:p>
      <w:pPr>
        <w:spacing w:after="0" w:line="76"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We face intense competition in the marketplace and are confronted by rapidly changing technology, evolving industry standards, consumer preferences, regulatory changes and the frequent introduction of new solutions by our competitors to which we must adapt and address. We need to continuously update our platform and the technology in which we invest and develop, including our machine learning and other proprietary algorithms, in order to attract publishers and advertisers and stay ahead of changes in technology, evolving industry standards and regulatory requirements. Our platform is complex and new solutions can require a significant investment of time and resources to develop, test, introduce and enhance. These activities can take longer than we expect and we may not make the right decisions regarding our pursuit of these investments. New formats and channels, such as mobile header bidding and CTV, present unique challenges and our success in new formats and channels depends upon our ability to integrate them with our platform. If our mobile and video solutions or our CTV solutions are not widely adopted by advertisers and publishers, we may not retain advertisers and publishers. In addition, new demands from advertisers or publishers, superior offerings by competitors, changes in technology, or new industry standards or regulatory requirements could render our platform or our existing solutions less effective and require us to make unanticipated changes to our platform or business model. Furthermore, our focus on our end-to-end platform may decrease our responsiveness and agility to respond to changes or innovations specific to either our DSP or SSP solutions. Our failure to adapt to a rapidly changing market, anticipate changing demand, or attract and retain advertisers or publishers would cause our revenue or revenue growth rate to decline and adversely affect our business, results of operations and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parts of our business depend on relationships with data providers for data sets used to deliver targeted campaigns.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ability to deliver targeted advertising campaigns depends on our ability to acquire effective data sets, which we do through a combination of proprietary data sets as well as data sets that we purchase from third parties. If any third-party data providers decide not to make data sets available to us, decide to increase their price or place significant restrictions on the use of their data, we may not be able to replace this with our own proprietary data sets or those of other third-party providers that satisfy our requirements in a timely and cost-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effective manner. In addition, some data set providers in the industry may enter into exclusivity arrangements with our competitors, which could limit our access to a meaningful supply of data and give them a competitive advantage. Any limitations on access to these third-party data sets could impair our ability to deliver effective solutions, which could adversely affect our business, results of operations and financial condition.</w:t>
      </w:r>
    </w:p>
    <w:p>
      <w:pPr>
        <w:spacing w:after="0" w:line="273"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b w:val="1"/>
          <w:bCs w:val="1"/>
          <w:i w:val="1"/>
          <w:iCs w:val="1"/>
          <w:color w:val="auto"/>
        </w:rPr>
        <w:t>Our business depends on our ability to collect, use and disclose certain data, including CTV data, to deliver advertisements. Any limitation imposed on our collection, use or disclosure of this data could significantly diminish the value of our platform and cause us to lose publishers, advertisers and revenue. Consumer tools, regulatory restrictions and technological limitations all threaten our ability to use and disclose data.</w:t>
      </w:r>
    </w:p>
    <w:p>
      <w:pPr>
        <w:spacing w:after="0" w:line="4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As we process transactions through our platform, we collect large amounts of data about advertisements and where they are placed, such as consumer, advertiser and publisher preferences for media and advertising content. We also collect data on ad specifications such as ad placement, size and format, ad pricing and auction activity such as price floors, bid response behavior and clearing prices. Further, we collect certain data from consumers that, while not identifying the individual, does include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advertisers and data providers may also choose to provide us with their proprietary data about consumers.</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aggregate this data and analyze it in order to enhance our services, including the pricing, placement and delivery of advertisements. As part of our real-time analytics service offering we also share the data, or analyses based on such data, with our publishers and advertisers. Our ability to collect, use and share data about advertising transactions and consumer behavior is critical to the value of our services. There are many technical challenges relating to our ability to collect, aggregate, use and store the data, and we cannot assure you that we will be able to do so effectively. Evolving regulatory standards could place restrictions on the collection, aggregation, use and storage of information, which could result in a material increase in the cost of collecting or otherwise obtaining certain kinds of data and could limit the ways in which we may use or disclose information. Consumers can, with increasing ease, implement practices or technologies that may limit our ability to collect and use data to deliver advertisements, or otherwise inhibit the effectiveness of our platform, including opt out capabilities offered by various mobile, CTV manufacturer and web browsers, as well as data deletion request mechanisms offered by us to consumers, following IDEA and GDPR protocols. Although our publishers and advertisers generally permit us to aggregate and use data from advertising placements, subject to certain restrictions, existing or future publishers or advertisers might decide to restrict our collection or use of their data. Any limitations could impair our ability to deliver effective solutions, which could adversely affect our business, results of operations and financial condition.</w:t>
      </w:r>
    </w:p>
    <w:p>
      <w:pPr>
        <w:spacing w:after="0" w:line="2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If the use of third-party “cookies,” mobile device IDs, CTV data collection or other tracking technologies is restricted without similar or better alternatives (and adoption of such alternatives), our platform’s effectiveness could be diminished and our business, results of operations and financial condition could be adversely affected.</w:t>
      </w:r>
    </w:p>
    <w:p>
      <w:pPr>
        <w:spacing w:after="0" w:line="76"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We use “cookies,” or small text files placed on consumer devices when an Internet browser is used, as well as mobile device identifiers and CTV data collection devices, to gather data that enables our platform to be more effective. Our cookies, mobile device IDs and CTV data collection devices do not identify consumers directly but rather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IDs. We use data from cookies, mobile device IDs, CTV data collection devices and other tracking technologies to help advertisers decide whether to bid on, and how to price, an ad impression in a certain location, at a given time, for a particular consumer. Without cookies, mobile device IDs, CTV data collection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devices and other tracking technology data, transactions processed through our platform would be executed with less insight into consumer activity, reducing the precision of advertisers’ decisions about which impressions to purchase for an advertising campaign and limiting our reporting capabilities. This could make placement of advertising through our platform less valuable and harm our revenue. If our ability to use cookies, mobile device IDs, CTV data collection devices or other tracking technologies is limited, we may be required to develop or obtain additional applications and technologies to compensate for the lack of cookies, mobile device IDs, CTV data collection devices and other tracking technology data, which could be time consuming or costly to develop, less effective and subject to additional regulation.</w:t>
      </w:r>
    </w:p>
    <w:p>
      <w:pPr>
        <w:spacing w:after="0" w:line="2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failure to meet content and inventory standards and provide services that our advertisers and publishers trust could harm our brand and reputation and negatively impact our business, operating results and financial condition.</w:t>
      </w:r>
    </w:p>
    <w:p>
      <w:pPr>
        <w:spacing w:after="0" w:line="6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do not provide or control the content of advertisements or that of the digital media providing inventory. Advertisers provide the advertising content and publishers provide the inventory content. Both advertisers and publishers are concerned about being associated with content they consider inappropriate, competitive or inconsistent with their brands, or illegal, and they are hesitant to spend money or make inventory available without guaranteed brand and content security. Consequently, our reputation depends, in part, on providing services that our advertisers and publishers trust and we have contractual obligations to meet certain content and inventory standards. We use commercially reasonable efforts to contractually prohibit the misuse of our platform by agencies (and their marketer customers) and publishers; however we are not always successful in achieving a fulsome level of protection. Despite such efforts, advertisers may inadvertently purchase inventory that proves to be unacceptable for their campaigns, in which case we may not be able to collect revenue or recoup the amounts paid to publishers. Furthermore, the standards by which an advertiser or a publisher may consider an advertising placement or inventory content offensive or inappropriate are constantly changing and our contractual agreements are not always able to anticipate fully the preferences of our advertisers and publishers. Our advertisers could intentionally run campaigns that do not meet the standards of our publishers or attempt to use illegal or unethical targeting practices or seek to display advertising in jurisdictions that do not permit such advertising or in which the regulatory environment is uncertain, in which case our supply of ad inventory from such suppliers could be jeopardized.</w:t>
      </w:r>
    </w:p>
    <w:p>
      <w:pPr>
        <w:spacing w:after="0" w:line="2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must grow rapidly to remain a market leader and to accomplish our strategic objectives. If we fail to grow, or fail to manage our growth effectively, the value of our company may decline.</w:t>
      </w:r>
    </w:p>
    <w:p>
      <w:pPr>
        <w:spacing w:after="0" w:line="6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The advertising technology market is dynamic, and our success depends upon the continued adoption of programmatic advertising and our ability to develop innovative new technologies and solutions for the evolving needs of advertisers and digital media property owners. We need to grow significantly to develop the market reach and scale necessary to compete effectively with large competitors. This growth depends to a significant degree upon the quality of our strategic vision and planning. The advertising market is evolving rapidly, and if we make strategic errors, there is a significant risk that we will lose our competitive position and be unable to recover and achieve our objectives. Our ability to grow requires access to, and prudent deployment of, capital for hiring, expansion of physical infrastructure to run our platform, acquisition of companies or technologies, and development and integration of supporting sales, marketing, finance, administrative and managerial infrastructure. Further, the growth we are pursuing may strain our resources. If we are not able to innovate and grow successfully, the value of our business may be adversely affected.</w:t>
      </w:r>
    </w:p>
    <w:p>
      <w:pPr>
        <w:spacing w:after="0" w:line="27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 market for programmatic buying for advertising campaigns is relatively new and evolving. If this market develops slower or differently than we expect, our business, operating results and financial condition could be adversely affected.</w:t>
      </w:r>
    </w:p>
    <w:p>
      <w:pPr>
        <w:spacing w:after="0" w:line="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derive revenue from the programmatic advertising on our end-to-end platform. We expect that programmatic advertising will continue to be our primary source of revenue for the foreseeable future and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our revenue growth will largely depend on increasing our customers’ usage of our platform. While the market for programmatic advertising for desktop and mobile is relatively established, the market in other channels is still emerging, and our current and potential customers may not shift quickly enough to programmatic advertising from other buying methods, which would reduce our growth potential. If the market for programmatic advertising deteriorates or develops more slowly than we expect, it could reduce demand for our platform and our business, growth prospects and financial condition could be adversely affected.</w:t>
      </w:r>
    </w:p>
    <w:p>
      <w:pPr>
        <w:spacing w:after="0" w:line="29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 that could adversely affect our business, results of operations and financial condition.</w:t>
      </w:r>
    </w:p>
    <w:p>
      <w:pPr>
        <w:spacing w:after="0" w:line="7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We use our proprietary technology and third-party services to, and we participate in industry co-ops that work to, detect malware and other content issues as well as click fraud (whether by humans or software known as “bots”) and to block fraudulent inventory. Preventing and combating fraud is an industry-wide issue that requires constant vigilance, as well as a balancing of cost effectiveness and risk, and we cannot guarantee that we will be successful in our efforts to combat fraud. We may provide access to inventory that is objectionable to our advertisers or we may serve advertising that contains malware or objectionable content to our publishers, which could harm our and our advertisers’ and publishers’ reputation, causing them to scale-back or terminate their relationship with us, or otherwise negatively impact our business, operating results and financial condition.</w:t>
      </w:r>
    </w:p>
    <w:p>
      <w:pPr>
        <w:spacing w:after="0" w:line="27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If the use of digital advertising is rejected by consumers, through opt-in, opt-out or ad-blocking technologies or other means, it could have an adverse effect on our business, results of operations and financial condition.</w:t>
      </w:r>
    </w:p>
    <w:p>
      <w:pPr>
        <w:spacing w:after="0" w:line="6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For example, Apple recently moved to “opt-in” privacy models, requiring consumers to voluntarily choose to receive targeted ads, which may reduce the value of inventory on its iOS mobile application platform. Many applications and other devices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could adversely affect our business.</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Some consumers also download free or paid “ad blocking” software on their computers or mobile devices, not only for privacy reasons but also to counteract the adverse effect advertisements can have on the consumer experience, including increased load times, data consumption and screen overcrowding. If more consumers adopt these measures, our business, results of operations and financial condition could be adversely affected. Ad-blocking technologies could have an adverse effect on our business, results of operations and financial condition if they reduce the volume or effectiveness and value of advertising. In addition, some ad blocking technologies only block ads that are targeted through use of third-party data, while allowing ads based on first-party data (i.e., data owned by the publisher). These ad blockers could place us at a disadvantage because we rely heavily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competitors. Even if ad blockers do not ultimately have an adverse effect on our business, investor concerns about ad blockers could cause our stock price to decline.</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must scale our platform infrastructure to support anticipated growth and transaction volume. If we fail to do so, we may limit our ability to process inventory and we may lose revenue.</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Our business depends on processing inventory in milliseconds, and we must handle an increasingly large volume of such transactions. The addition of new solutions, such as header bidding in mobile and CTV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w:t>
      </w:r>
    </w:p>
    <w:p>
      <w:pPr>
        <w:spacing w:after="0" w:line="2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Disruptions to service from our third-party data center hosting facilities and cloud computing and hosting providers could impair the delivery of our services and harm our business.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 significant portion of our business relies upon hardware and services that are hosted, managed and controlled by third-party co-location providers for our data centers, and we are dependent on these third-parties to provide continuous power, cooling, Internet connectivity and physical and technological security for our servers. In the event that these third-party providers experience any interruption in operations or cease business for any reason, or if we are unable to agree on satisfactory terms for continued hosting relationships, we would be forced to enter into a relationship with other service providers or assume some hosting responsibilities ourselves. Even a disruption as brief as a few minutes could have a negative impact on marketplace activities and could result in a loss of revenue. These facilities may be located in areas prone to natural disasters and may experience catastrophic events such as earthquakes, fires, floods, power loss, telecommunications failures, public health crises and similar events. They may also be subject to break-ins, sabotage, intentional acts of vandalism, cyber-attacks and similar misconduct. Although we have made certain disaster recovery and business continuity arrangements, such events could cause damage to, or failure of, our systems generally, or those of the third-party cloud computing and hosting providers, which could result in disruptions to our service.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potential liability and harm to our business based on the human factor of inputting information into our platform.</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accidently go significantly over budget. While our customer contracts state that customers are responsible for media purchased through our platform, we are ultimately responsible for paying the inventory providers and we may be unable to collect when such issues occur.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negatively impact our business.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regard the protection of our intellectual property, which includes trade secrets, copyrights, trademarks and domain names, as critical to our success. We strive to protect our intellectual property rights by relying on federal, state and common law rights, as well as contractual restrictions. We generally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 Those agreements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that we do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 Breaches of the security of our solutions, databases or other resources could expose us to a risk of loss or unauthorized disclosure of information collected, stored or transmitted for or on behalf of advertisers or publishers, or of cookies, data stored in cookies, other user information or other proprietary or confidential information.</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register certain domain names, trademarks and service marks in the United States and in certain locations outside the United States. We also rely upon common law protection for certain marks, such as “Tremor Video.” Any of our patents, trademarks or other intellectual property rights may be challenged by others or invalidated through administrative process or litigation. Our competitors and others could attempt to capitalize on our brand recognition by using domain names or business names similar to ours. Domain names and trademarks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filings that could be expensive and time-consuming.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Market in Which We Operate</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62"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depend on data sets and various technology, software, products and services from third parties or available as open source, including for critical features and functionality of our platform to deliver targeted advertising campaigns. Our ability to obtain necessary data licenses on commercially reasonable terms is critical to the success of our platform and we could suffer material adverse consequences if we are unable to obtain data through our integrations with data suppliers or if the cost of obtaining such data materially increases. Identifying, negotiating, complying with and integrating with third-party terms and technology are complex, costly and time-consuming matters. Further, in the course of negotiations with third-party providers, we may be required to provide material upfront minimum purchase commitments in order to secure favorable contractual terms. Failure by third-party providers to acquire relevant data sets, or to maintain, support or secure their technology either generally or for our accounts specifically, or downtime, errors or defects in their products or services, could materially and adversely impact our platform, our administrative obligations or other areas of our business. Furthermore, changes in the costs of third-party services may result in us having to replace any third-party providers or their data sets, technology, products or services and could result in outages or difficulties in our ability to provide our services.</w:t>
      </w:r>
    </w:p>
    <w:p>
      <w:pPr>
        <w:spacing w:after="0" w:line="2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Our revenue and results of operations are highly dependent on the overall demand for advertising. Factors that affect the amount of advertising spending, such as economic downturns and the COVID-19 pandemic, can make it difficult to predict our revenue and could adversely affect our business, results of operations and financial condition.</w:t>
      </w:r>
    </w:p>
    <w:p>
      <w:pPr>
        <w:spacing w:after="0" w:line="7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Our business depends on the overall demand for advertising and on the economic health of our current and prospective advertisers. Recently, the economic health of advertisers has been impacted by the COVID-19 pandemic and the resulting economic uncertainty in the United States and global economy beginning in the second quarter of 2020, and as a result advertising demand on our platform decreased in the first half of 2020,</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with recovery in the second half of 2020, although some verticals have still not recovered. Many marketing budgets, particularly those in travel, retail and hospitality, decreased or paused their advertising spending as a response to the economic uncertainty, decline in business activity and other COVID-19 related impacts which have, and may continue to have, a negative impact on our revenue and results of operations. Various macroeconomic factors could cause advertisers to reduce their advertising budgets, and may include the following:</w:t>
      </w:r>
    </w:p>
    <w:p>
      <w:pPr>
        <w:spacing w:after="0" w:line="77" w:lineRule="exact"/>
        <w:rPr>
          <w:sz w:val="20"/>
          <w:szCs w:val="20"/>
          <w:color w:val="auto"/>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economic conditions and general uncertainty about economic recovery or growth, particularly in North America where we do most of our business;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pricing policies of publishers and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political or market conditions generally;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changes in tax treatment of advertising expenses and the deductibility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seasonal nature of advertising spend on digital advertising campaigns;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and uncertainty in the regulatory and business environment (for example, when Apple or Google change policies for their browsers and operating systems).</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Reductions in overall advertising spending as a result of these factors could make it difficult to predict our revenue and could adversely affect our business, results of operations, and financial condition.</w:t>
      </w:r>
    </w:p>
    <w:p>
      <w:pPr>
        <w:spacing w:after="0" w:line="27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76"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Our business and operations have been and could in the future be adversely affected by health epidemics, such as the global COVID-19 pandemic. The COVID-19 pandemic and efforts to control its spread have curtailed the movement of people, goods and services worldwide, including in the regions in which we and our customers operate, and are significantly impacting economic activity and financial markets. Many marketers, particularly those in the travel, retail and hospitality industries, have decreased or paused their advertising spending as a response to the economic uncertainty, decline in business activity, and other COVID-19-related impacts, which has negatively impacted, and may continue to negatively impact, our revenue and results of operations, the extent and duration of which we may not be able to accurately predict. The spread of an infectious disease may also result in, and, in the case of the COVID-19 pandemic has resulted in, regional quarantines, labor shortages or stoppages, changes in consumer purchasing patterns, disruptions to service providers’ ability to deliver data on a timely basis, or at all, and overall economic instability.</w:t>
      </w:r>
    </w:p>
    <w:p>
      <w:pPr>
        <w:spacing w:after="0" w:line="165"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A recession, depression or other sustained adverse market events resulting from the spread of COVID-19 could materially and adversely affect our business and that of our customers or potential customers. Our customers’ and potential customers’ businesses or cash flows have been and may continue to be negatively impacted by the COVID-19 pandemic,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Advertisers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may be adversely impacted if the business or financial condition of advertisers and marketers is negatively affected by the pandemic.</w:t>
      </w:r>
    </w:p>
    <w:p>
      <w:pPr>
        <w:spacing w:after="0" w:line="166"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Our operations are subject to a range of external factors related to the COVID-19 pandemic that are not within our control. We have taken precautionary measures intended to minimize the risk of the spread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virus to our employees and the communities in which we operate. A wide range of governmental restrictions has also been imposed on our employees’ physical movement to limit the spread of COVID-19. There can be no assurance that precautionary measures, whether adopted by us or imposed by others, will be effective, and such measures could negatively affect our sales, marketing, and customer service efforts, delay and lengthen our sales cycles, decrease our employees’ productivity, or create operational or other challenges, any of which could harm our business, operating results and financial condition.</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economic uncertainty caused by the COVID-19 pandemic has made and may continue to make it difficult for us to forecast revenue and operating results and to make decisions regarding operational cost structures and investments. Our business depends on the overall demand for advertising and on the economic health of advertisers and publishers that benefit from our platform. Economic downturns or unstable market conditions may cause advertisers to decrease their advertising budgets, which could reduce usage of our platform and adversely affect our business, operating results and financial condition. We have committed, and we plan to continue to commit, resources to grow our business, including to expand our employee base and develop our platform, and such investments may not yield anticipated returns, particularly if global business activity continues to be impacted by the COVID-19 pandemic. The duration and extent of the impact from the COVID-19 pandemic depend on future developments that cannot be accurately predicted at this time, and if we are not able to respond to and manage the impact of such events effectively, our business may be harmed. Such future developments may include, among others, the duration and spread of the outbreak, new information that may emerge concerning the severity of COVID-19 and government actions to contain COVID-19 or treat its impact, the level of relief efforts designed to help businesses and consumers, including any declines in such levels, the impact on advertisers and our sales cycles, the impact on advertiser, industry or employee events and the effect on publishers.</w:t>
      </w:r>
    </w:p>
    <w:p>
      <w:pPr>
        <w:spacing w:after="0" w:line="17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results may also fluctuate unpredictably as and to the extent there is a recovery from the pandemic and a return to non-pandemic business conditions. We cannot predict the impact of a post-pandemic recovery on the economy, advertisers or consumer media consumption patterns or the degree to which certain trends, such as the growth in demand for CTV, will continue.</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Any decrease in the use of the advertising or publishing channels that we primarily depend on, or failure to expand into emerging channels, could adversely affect our business, results of operations and financial condition.</w:t>
      </w:r>
    </w:p>
    <w:p>
      <w:pPr>
        <w:spacing w:after="0" w:line="6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future growth of our business could be constrained by the level of acceptance and expansion of emerging channels, as well as the continued use and growth of existing channels in which our capabilities are more established. Our revenue growth may depend on our ability to expand within mobile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trends. For example, we cannot predict whether the growth in demand for our CTV offering will continue. Any decrease in the use of existing channels, whether due to advertisers or publishers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30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CTV develops in ways that prevent advertisements from being delivered to consumers, our business, results of operations and financial condition may be adversely affected.</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As online video advertising has continued to scale and evolve, the amount of online video advertising being bought and sold programmatically has increased dramatically; this market continues to grow with the increased popularity of CTV media. However, despite the opportunities created by programmatic advertising, programmatic solutions for CTV publishers are still nascent compared to desktop search and mobile video solutions. Many CTV publishers have backgrounds in cable or broadcast television and have limited experience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We believe that our platform is well-positioned to allow publishers the opportunity to achieve these goals and also reliably achieve “ad potting,” or the placement of the desired number of advertisements in commercial breaks. In fact, we have invested significant time and resources cultivating relationships with CTV publishers to establish best practices and teach them about the benefits of programmatic CTV. While we believe that programmatic advertising will continue to grow as a percentage of overall CTV advertising, there can be no assurance as to the rate at which CTV publishers will adopt programmatic solutions such as ours, if at all, which could adversely affect our business, results of operations and financial condition.</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The market in which we participate is intensely competitive, and we may not be able to compete successfully with our current or future competitors.</w:t>
      </w:r>
    </w:p>
    <w:p>
      <w:pPr>
        <w:spacing w:after="0" w:line="15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We operate in a highly competitive and rapidly changing industry. We expect competition to persist and intensify in the future, which could harm our ability to increase revenue and our market share and maintain profitability. New technologies and methods of buying advertising present a dynamic competitive challenge, as market participants develop and offer new products and services, such as analytics, automated media buying and exchanges, aimed at capturing advertising spend or disrupting the digital marketing landscape. Further, our competitors may begin offering similar products or services to those we currently offer, including our end-to-end platform, and our ability to compete effectively could be significantly compromised.</w:t>
      </w:r>
    </w:p>
    <w:p>
      <w:pPr>
        <w:spacing w:after="0" w:line="16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We may also face competition from new companies entering the market, including large established companies and companies that we do not yet know about or do not yet exist. If existing or new companies develop, market or resell competitive high-value products or services that result in additional competition for advertising spend or advertising inventory or if they acquire one of our existing competitors or form a strategic alliance with one of our competitors, our ability to compete effectively could be significantly compromised and our results of operations could be harmed.</w:t>
      </w:r>
    </w:p>
    <w:p>
      <w:pPr>
        <w:spacing w:after="0" w:line="15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which may allow them to devote greater resources to the development, promotion, sale and support of their products and services. They may also have more extensive advertiser bases and broader publisher relationships than we have and may be better positioned to execute on advertising conducted over certain channels, such as social media, mobile and video. Some of our competitors may have a longer operating history and greater name recognition. As a result, these competitors may be better able to respond quickly to new technologies, develop deeper advertiser relationships or offer services at lower prices. Any of these developments would make it more difficult for us to sell our platform and could result in increased pricing pressure, increased sales and marketing expense, or the loss of market share.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 fluctuations in advertising activity could have a material impact on our revenue, cash flow and operating results.</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revenue, cash flow, operating results and other key operating and performance metrics may vary from quarter to quarter due to the seasonal nature of our customers’ spending on advertising campaigns. For example, in prior years, customers tended to devote more of their advertising budgets to the fourth calendar quarter to coincide with consumer holiday spending. In contrast, the first quarter of the calendar year has typically been the slowest in terms of advertising spend. These patterns may or may not hold true during the COVID-19 pandemic.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may be adversely affected.</w:t>
      </w:r>
    </w:p>
    <w:p>
      <w:pPr>
        <w:spacing w:after="0" w:line="2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on January 31, 2020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9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These developments, or the perception that any related developments could occur, have had and may continue to have a material adverse effect on global economic conditions and the stability of global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ADSs.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Employees and Location in Israel</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long-term success depends on our ability to operate internationally making us susceptible to risks associated with cross-border sales and operations.</w:t>
      </w:r>
    </w:p>
    <w:p>
      <w:pPr>
        <w:spacing w:after="0" w:line="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serve advertisements in more than 100 countries and maintain offices in North America, Europe, Asia and Australia. Our expansive global footprint subjects us to a variety of risks and burdens, including:</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need to localize our solutions, including product customizations and adaptation for local practices and regulatory requirements;</w:t>
      </w:r>
    </w:p>
    <w:p>
      <w:pPr>
        <w:spacing w:after="0" w:line="142" w:lineRule="exact"/>
        <w:rPr>
          <w:rFonts w:ascii="Arial" w:cs="Arial" w:eastAsia="Arial" w:hAnsi="Arial"/>
          <w:sz w:val="17"/>
          <w:szCs w:val="17"/>
          <w:color w:val="auto"/>
        </w:rPr>
      </w:pPr>
    </w:p>
    <w:p>
      <w:pPr>
        <w:jc w:val="both"/>
        <w:ind w:left="1080" w:right="20" w:hanging="532"/>
        <w:spacing w:after="0" w:line="25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familiarity and burdens of ongoing compliance with local laws, legal standards, regulatory requirements, tariffs, customs formalities and other barriers, including restrictions on advertising practices, regulations governing online services, restrictions on importation or shipping of specified or proscribed items, importation quotas, shopper protection laws, enforcement of intellectual property rights, laws dealing with shopper and data protection, privacy, encryption, denied parties and sanctions, and restrictions on pricing or discounts;</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heightened exposure to fraud;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uncertainty in foreign countries with less developed legal systems;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trade laws, tariffs, export quotas, custom duties or customs formalities, embargoes, exchange controls, government controls or other trade restrictions;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differing employer/employee relationships;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exchange rates that may increase our foreign exchange exposure;</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tax laws (including with respect to value added taxes) and restrictions on the repatriation of earnings;</w:t>
      </w:r>
    </w:p>
    <w:p>
      <w:pPr>
        <w:spacing w:after="0" w:line="75" w:lineRule="exact"/>
        <w:rPr>
          <w:rFonts w:ascii="Arial" w:cs="Arial" w:eastAsia="Arial" w:hAnsi="Arial"/>
          <w:sz w:val="18"/>
          <w:szCs w:val="18"/>
          <w:color w:val="auto"/>
        </w:rPr>
      </w:pPr>
    </w:p>
    <w:p>
      <w:pPr>
        <w:jc w:val="both"/>
        <w:ind w:left="1080" w:right="20" w:hanging="532"/>
        <w:spacing w:after="0" w:line="279"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likelihood of potential or actual violations of domestic and international anti-money laundering laws and anticorruption laws, such as the U.S. Foreign Corrupt Practices Act of 1977, as amended (the “FCPA”) and the U.K. Bribery Act 2010 (the “U.K. Bribery Act”), which correlates with the scope of our sales and operations in foreign jurisdictions and operations in certain industries, such that an increase in such operations would increase risk of non-compliance with the aforementioned laws;</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 political and economic climates in foreign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and staffing operations over a broader geographic area with varying cultural norms and customs;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varying levels of Internet and mobile technology adoption and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These factors may require significant management attention and financial resources. Any negative impact from our international business efforts could adversely affect our business, results of operations and financial condition.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depend on our executive officers and other key employees, and the loss of one or more of these employees could harm our business.</w:t>
      </w:r>
    </w:p>
    <w:p>
      <w:pPr>
        <w:spacing w:after="0" w:line="140"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subject only to the notice periods prescribed by their respective executive agreements. The loss of one or more of our executive officers or key employees could harm our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Inability to attract and retain other highly skilled employees could harm our business.</w:t>
      </w:r>
    </w:p>
    <w:p>
      <w:pPr>
        <w:spacing w:after="0" w:line="117"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To execute our growth plan, we must attract and retain highly qualified personnel. Competition where we maintain offices is intense, especially for engineers experienced in designing and developing software and experienced sales professionals. We have from time to time experienced, and we expect to continue to experience, difficulty in hiring and retaining employees with appropriate qualifications. Many of the companies with which we compete for experienced personnel have greater resources than we have and may attempt to recruit our highly skilled employees. In addition, certain domestic immigration laws restrict or limit our ability to recruit internationally. Any changes to Israeli, United Kingdom, European or the U.S. immigration policies that restrain the flow of technical and professional talent may inhibit our ability to recruit and retain highly qualified employees.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value of our equity awards declines, it may harm our ability to recruit and retain highly skilled employees.</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Volatility or lack of appreciation in the price of our ADSs may also affect our ability to attract and retain our key employees. Many of our senior personnel and other key employees have become, or will soon become, vested in a substantial amount of options. Employees may be more likely to leave us if the shares they own or the shares underlying their vested options or restricted share units have significantly appreciated in value relative to the original purchase price of the shares or the exercise price of the options, or conversely, if the exercise price of the options that they hold are significantly above the market price of our ADSs.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in Israel could materially and adversely affect our business.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Many of our employees, including certain management members, operate from our offices that are located in Tel Aviv,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certain terrorist organizations and with Iranian-backed military forces in Syria. Some of these hostilities were accompanied by missiles being fired from the Gaza Strip against civilian targets in various parts of Israel, including areas in which our employees and some of our consultants are located, and negatively affected business conditions in Israel. In addition, Iran has threatened to attack Israel and may be developing nuclear weapons. Any hostilities involving Israel or the interruption or curtailment of trade between Israel and its trading partners could adversely affect our operations and results of operations.</w:t>
      </w:r>
    </w:p>
    <w:p>
      <w:pPr>
        <w:spacing w:after="0" w:line="16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could negatively affect our business conditions and harm our results of operations.</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8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which may include the call-up of members of our management. Such disruption could materially adversely affect our business, prospects, financial condition and results of operations.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62"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are incorporated under Israeli law. The rights and responsibilities of holders of our ordinary shares are governed by our amended and restated articles of association to be effective upon the closing of this offering and the Companies Law. These rights and responsibilities differ in some respects from the rights and responsibilities of shareholders in typical U.S. corporations. In particular, pursuant to the Companies Law each shareholder of an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30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to be effective upon the closing of this offering may delay, prevent or make undesirable an acquisition of all or a significant portion of our ADSs or assets.</w:t>
      </w:r>
    </w:p>
    <w:p>
      <w:pPr>
        <w:spacing w:after="0" w:line="6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Provisions of Israeli law and our amended and restated articles of association to be effective upon the closing of this offering could have the effect of delaying or preventing a change in control and may make it more difficult for a third 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92" w:lineRule="exact"/>
        <w:rPr>
          <w:sz w:val="20"/>
          <w:szCs w:val="20"/>
          <w:color w:val="auto"/>
        </w:rPr>
      </w:pPr>
    </w:p>
    <w:p>
      <w:pPr>
        <w:ind w:left="10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Israeli corporate law regulates mergers and requires that a tender offer be effected when more than a specified percentage of shares in a company are purchased;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Israeli corporate law requires special approvals for certain transactions involving directors, officers or significant shareholders and regulates other matters that may be relevant to these types of transactions;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Israeli corporate law does not provide for shareholder action by written consent for public companies, thereby requiring all shareholder actions to be taken at a general meeting of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amended and restated articles of association to be effective upon the closing of this offering generally require a vote of the holders of a</w:t>
      </w:r>
    </w:p>
    <w:p>
      <w:pPr>
        <w:spacing w:after="0" w:line="46" w:lineRule="exact"/>
        <w:rPr>
          <w:sz w:val="20"/>
          <w:szCs w:val="20"/>
          <w:color w:val="auto"/>
        </w:rPr>
      </w:pPr>
    </w:p>
    <w:p>
      <w:pPr>
        <w:jc w:val="both"/>
        <w:ind w:left="1080" w:right="20"/>
        <w:spacing w:after="0" w:line="277" w:lineRule="auto"/>
        <w:rPr>
          <w:sz w:val="20"/>
          <w:szCs w:val="20"/>
          <w:color w:val="auto"/>
        </w:rPr>
      </w:pPr>
      <w:r>
        <w:rPr>
          <w:rFonts w:ascii="Arial" w:cs="Arial" w:eastAsia="Arial" w:hAnsi="Arial"/>
          <w:sz w:val="17"/>
          <w:szCs w:val="17"/>
          <w:color w:val="auto"/>
        </w:rPr>
        <w:t>majority of our outstanding ordinary shares entitled to vote present and voting on the matter at a general meeting of shareholders (referred to as simple majority), and the amendment of a limited number of provisions, such as the provision dividing our directors into three classes, requires a vote of the holders of % of our outstanding ordinary shares entitled to vote at a general meeting;</w:t>
      </w:r>
    </w:p>
    <w:p>
      <w:pPr>
        <w:spacing w:after="0" w:line="7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amended and restated articles of association to be effective upon the closing of this offering do not permit a director to be removed</w:t>
      </w:r>
    </w:p>
    <w:p>
      <w:pPr>
        <w:spacing w:after="0" w:line="46" w:lineRule="exact"/>
        <w:rPr>
          <w:sz w:val="20"/>
          <w:szCs w:val="20"/>
          <w:color w:val="auto"/>
        </w:rPr>
      </w:pPr>
    </w:p>
    <w:p>
      <w:pPr>
        <w:ind w:left="1080"/>
        <w:spacing w:after="0"/>
        <w:tabs>
          <w:tab w:leader="none" w:pos="4240" w:val="left"/>
        </w:tabs>
        <w:rPr>
          <w:sz w:val="20"/>
          <w:szCs w:val="20"/>
          <w:color w:val="auto"/>
        </w:rPr>
      </w:pPr>
      <w:r>
        <w:rPr>
          <w:rFonts w:ascii="Arial" w:cs="Arial" w:eastAsia="Arial" w:hAnsi="Arial"/>
          <w:sz w:val="18"/>
          <w:szCs w:val="18"/>
          <w:color w:val="auto"/>
        </w:rPr>
        <w:t>except by a vote of the holders of at least</w:t>
      </w:r>
      <w:r>
        <w:rPr>
          <w:sz w:val="20"/>
          <w:szCs w:val="20"/>
          <w:color w:val="auto"/>
        </w:rPr>
        <w:tab/>
      </w:r>
      <w:r>
        <w:rPr>
          <w:rFonts w:ascii="Arial" w:cs="Arial" w:eastAsia="Arial" w:hAnsi="Arial"/>
          <w:sz w:val="16"/>
          <w:szCs w:val="16"/>
          <w:color w:val="auto"/>
        </w:rPr>
        <w:t>% of our outstanding shares entitled to vote at a general meeting of shareholders; and</w:t>
      </w:r>
    </w:p>
    <w:p>
      <w:pPr>
        <w:spacing w:after="0" w:line="116" w:lineRule="exact"/>
        <w:rPr>
          <w:sz w:val="20"/>
          <w:szCs w:val="20"/>
          <w:color w:val="auto"/>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amended and restated articles of association to be effective upon the closing of this offering provide that director vacancies may be filled by our board of directors.</w:t>
      </w:r>
    </w:p>
    <w:p>
      <w:pPr>
        <w:spacing w:after="0" w:line="170"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40" w:lineRule="auto"/>
        <w:rPr>
          <w:sz w:val="20"/>
          <w:szCs w:val="20"/>
          <w:color w:val="auto"/>
        </w:rPr>
      </w:pPr>
      <w:r>
        <w:rPr>
          <w:rFonts w:ascii="Arial" w:cs="Arial" w:eastAsia="Arial" w:hAnsi="Arial"/>
          <w:sz w:val="15"/>
          <w:szCs w:val="15"/>
          <w:b w:val="1"/>
          <w:bCs w:val="1"/>
          <w:i w:val="1"/>
          <w:iCs w:val="1"/>
          <w:color w:val="auto"/>
        </w:rPr>
        <w:t>Our amended and restated articles of association to be effective upon the closing of this offering provide that unless we consent to an alternate forum, the federal district courts of the United States shall be the exclusive forum for the resolution of any claims arising under the Securities Act of 1933, as amended (the “Securities Act”), which may limit the ability of our shareholders to initiate litigation against us or increase the cost thereof.</w:t>
      </w:r>
    </w:p>
    <w:p>
      <w:pPr>
        <w:spacing w:after="0" w:line="23"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Our amended and restated articles of association to be effective upon the closing of this offering provide that unless we consent in writing to the selection of an alternative forum, the federal district courts of the United States shall be the exclusive forum for the resolution of any complaint asserting a cause of action arising under the Securities Act. Section 22 of the Securities Act creates concurrent jurisdiction for federal and state courts over all such Securities Act actions, and accordingly, both state and federal courts have jurisdiction to entertain such claims. While the federal forum provision in our amended and restated articles of association does not restrict the ability of our shareholders to bring claims under the Securities Act, we recognize that it may limit shareholders’ ability to bring a claim in the judicial forum that they find favorable and may increase certain litigation costs, which may discourage the filing of claims under the Securities Act against the Company, its directors and officers.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amended and restated articles of association. If a court were to find the choice of forum provision contained in our amended and restated articles of association to be inapplicable or unenforceable in an action, we may incur additional costs associated with resolving such action in other jurisdictions, which could materially adversely affect our business, financial condition and results of operations. We note that investors cannot waive compliance with the federal securities laws and the rules and regulations thereunder may have the effect of discouraging lawsuits against our directors and officers.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U.S. judgment against us, our officers and directors in Israel or the United States, or to assert U.S. securities laws claims in Israel or serve process on our officers and directors.</w:t>
      </w:r>
    </w:p>
    <w:p>
      <w:pPr>
        <w:spacing w:after="0" w:line="62" w:lineRule="exact"/>
        <w:rPr>
          <w:sz w:val="20"/>
          <w:szCs w:val="20"/>
          <w:color w:val="auto"/>
        </w:rPr>
      </w:pPr>
    </w:p>
    <w:p>
      <w:pPr>
        <w:jc w:val="both"/>
        <w:ind w:left="120" w:right="20" w:firstLine="440"/>
        <w:spacing w:after="0" w:line="288" w:lineRule="auto"/>
        <w:rPr>
          <w:sz w:val="20"/>
          <w:szCs w:val="20"/>
          <w:color w:val="auto"/>
        </w:rPr>
      </w:pPr>
      <w:r>
        <w:rPr>
          <w:rFonts w:ascii="Arial" w:cs="Arial" w:eastAsia="Arial" w:hAnsi="Arial"/>
          <w:sz w:val="16"/>
          <w:szCs w:val="16"/>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 For more information, see “</w:t>
      </w:r>
      <w:r>
        <w:rPr>
          <w:rFonts w:ascii="Arial" w:cs="Arial" w:eastAsia="Arial" w:hAnsi="Arial"/>
          <w:sz w:val="18"/>
          <w:szCs w:val="18"/>
          <w:i w:val="1"/>
          <w:iCs w:val="1"/>
          <w:color w:val="auto"/>
        </w:rPr>
        <w:t>Enforceability of Civil Liabilities</w:t>
      </w:r>
      <w:r>
        <w:rPr>
          <w:rFonts w:ascii="Arial" w:cs="Arial" w:eastAsia="Arial" w:hAnsi="Arial"/>
          <w:sz w:val="18"/>
          <w:szCs w:val="18"/>
          <w:color w:val="auto"/>
        </w:rPr>
        <w: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Financial Position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operating history makes it difficult to evaluate our business and prospects and may increase the risk associated with your investment.</w:t>
      </w:r>
    </w:p>
    <w:p>
      <w:pPr>
        <w:spacing w:after="0" w:line="140"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business has evolved over time, including through transformative acquisitions such as our acquisitions of RhythmOne plc (“RhythmOne”) in 2019 and Unruly Holdings Limited and Unruly Media, Inc. (collectively, “Unruly”) in 2020, such that our operating history makes it difficult to evaluate our current business and future prospects. As a result of such acquisitions, our financial results across different periods may not be directly comparable. We expect to face challenges, risks and difficulties frequently experienced by growing companies in rapidly developing industries, including those relating to:</w:t>
      </w:r>
    </w:p>
    <w:p>
      <w:pPr>
        <w:spacing w:after="0" w:line="93"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recruiting, integrating and retaining qualified and motivated employees, particularly engineers;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maintaining and expanding relationships with publishers, agencies and advertisers;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innovating and developing new solutions that are adopted by and meet the needs of publishers, agencies and advertisers;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competing against companies with a larger customer base or greater financial or technical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economic disruption and technological changes driven by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further expanding our global footprint;</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expenses as we invest in our infrastructure and platform technology to scale our business and operate as a U.S. listed public company;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responding to evolving industry standards and government regulations that impact our business, particularly in the areas of data protection and consumer privacy.</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we are not successful in addressing these and other issues, our business may suffer, our revenue may decline and we may not be able to achieve further growth or sustain profitability.</w:t>
      </w:r>
    </w:p>
    <w:p>
      <w:pPr>
        <w:spacing w:after="0" w:line="27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We often have long sales cycles, which can result in significant time and investment between initial contact with a prospect and execution of an agreement with an advertiser or publisher, making it difficult to project when, if at all, we will obtain new advertisers or publisher and when we will generate revenue from them.</w:t>
      </w:r>
    </w:p>
    <w:p>
      <w:pPr>
        <w:spacing w:after="0" w:line="7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Our sales cycle, from initial contact to contract execution and implementation, can take significant time. As part of our sales cycle, we may incur significant expenses before we generate any revenue from a prospective advertiser or publisher. We have no assurance that the substantial time and money spent on our sales efforts will generate significant revenue. If conditions in the marketplace, generally or with a specific prospective advertiser or publisher, change negatively, it is possible that we will be unable to recover any of these expenses. Our sales efforts involve educating advertisers and publishers about the use, technical capabilities and benefits of our platform. Some advertisers and publishers undertake an evaluation process that frequently involves not only our platform but also the offerings of our competitors. As a result, it is difficult to predict when we will obtain new advertisers or publishers and begin generating revenue from them. Even if our sales efforts result in obtaining a new advertiser or publisher, such advertiser or publisher controls when and to what extent it uses our platform and therefore the amount of revenue we generate, and it may not sufficiently justify the expenses incurred to acquire the advertiser or publisher and the related training support. As a result, we may not be able to add advertisers or publishers to our customer base, or generate revenue, as quickly as we may expect, which could harm our growth prospects.</w:t>
      </w:r>
    </w:p>
    <w:p>
      <w:pPr>
        <w:spacing w:after="0" w:line="2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and, if our advertisers do not pay or dispute their invoices, our business, financial condition and operating results may be adversely affected.</w:t>
      </w:r>
    </w:p>
    <w:p>
      <w:pPr>
        <w:spacing w:after="0" w:line="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Many of our contracts with advertising agencies provide that if the advertiser does not pay the agency, the agency is not liable to us, and we must seek payment solely from the advertiser, a type of arrangement called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sequential liability. Contracting with these agencies, which in some cases have or may develop higher-risk credit profiles, may subject us to greater credit risk than if we were to contract directly with advertisers. This credit risk may vary depending on the nature of an advertising agency’s aggregated advertiser base. We may also be involved in disputes with agencies and their marketers over the operation of our platform, the terms of our agreements or our billings for purchases made by them through our platform. When we are unable to collect or make adjustments to our bills to advertisers,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17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Furthermore, we are generally contractually required to pay suppliers of advertising inventory and data within a negotiated period of time, regardless of whether our advertisers or publishers pay us on time, or at all. While we attempt to negotiate long payment periods with our suppliers and shorter periods with our advertisers and publishers, we are not always successful. As a result, our accounts payable are often due on shorter cycles than our accounts receivables, requiring us to remit payments from our own funds, and accept the risk of bad debt.</w:t>
      </w:r>
    </w:p>
    <w:p>
      <w:pPr>
        <w:spacing w:after="0" w:line="17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This payment process will increasingly consume working capital if we continue to be successful in growing our business. In addition, like many companies in our industry, we often experience slow payment by advertising agencies. In this regard, we had average days sales outstanding (“DSO”), of 113 days and average days payable outstanding (“DPO”), of 77 days for the year ended December 31, 2020. We compute our average DSO as of a given month end based on a weighted average of outstanding accounts receivable. Specifically, the DSO is calculated by multiplying the percentage of accounts receivable outstanding for each monthly billing period by the number of days outstanding related to each billing period and then summing the weighted days outstanding. We compute our DPO as of a given month end by dividing our trade payables (including accrued liabilities) by the average daily cost of media, data, other direct costs and certain operating expenses over the prior four months. Historically, our DSOs have fluctuated. If our DSOs increase significantly, and we are unable to borrow against these receivables on commercially acceptable terms, our working capital availability could be reduced, and as a consequence our results of operations and financial condition would be adversely impacted. We cannot assure you that as we continue to grow, our business will generate sufficient cash flow from operations to fund our working capital needs. If our cash flows are insufficient to fund our working capital requirements, we may not be able to grow at the rate we currently expect or at all.</w:t>
      </w:r>
    </w:p>
    <w:p>
      <w:pPr>
        <w:spacing w:after="0" w:line="280"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Future acquisitions or strategic investments could be difficult to identify and integrate, divert the attention of management, and could disrupt our business, dilute shareholder value and adversely affect our business, results of operations and financial condition.</w:t>
      </w:r>
    </w:p>
    <w:p>
      <w:pPr>
        <w:spacing w:after="0" w:line="38"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As part of our growth strategy we have pursued in the past transformative acquisitions, such as our recent acquisitions of RhythmOne in 2019 and Unruly in 2020, and we may acquire or invest in other businesses, assets or technologies that are complementary to our business and align with our strategic goals. Any acquisition or investment may divert the attention of management and require us to use significant amounts of cash, issue dilutive equity securities or incur debt.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67" w:lineRule="exact"/>
        <w:rPr>
          <w:sz w:val="20"/>
          <w:szCs w:val="20"/>
          <w:color w:val="auto"/>
        </w:rPr>
      </w:pPr>
    </w:p>
    <w:p>
      <w:pPr>
        <w:ind w:left="1080" w:right="20" w:hanging="532"/>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product or service offerings, administrative systems and personnel of acquired businesses, especially if those businesses operate outside of our core competency or geographies in which we currently operate;</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maintain key business relationships and reputation of the acquired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 attention from other business concerns;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arising from the acquisition or the activities of the acquired business, including claims from terminated employees, customers, former shareholders or other third parties;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rights, or increase our risk of liability;</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complications in the integration of acquired businesses or diminished prospects, including as a result of the COVID-19 pandemic and its global economic effects;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generate the expected financial results related to an acquisition on a timely manner or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accurately forecast the impact of an acquisition transaction;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implementation or remediation of effective controls, procedures and policies for acquired businesses.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To fund future acquisitions, we may pay cash or issue additional ADSs, which could dilute our shareholders’ value or diminish our cash reserves. Borrowing to fund an acquisition would result in increased fixed obligations and could also subject us to covenants or other restrictions that could limit our ability to effectively run our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Legal or Regulatory Constraints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regulation with respect to political advertising, which lacks clarity and uniformity.</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296"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b w:val="1"/>
          <w:bCs w:val="1"/>
          <w:i w:val="1"/>
          <w:iCs w:val="1"/>
          <w:color w:val="auto"/>
        </w:rPr>
        <w:t>We are subject to laws and regulations related to data privacy, data protection and information security and consumer protection across different markets where we conduct our business, including in the United States, the European Economic Area (“EEA”) and the United Kingdom and industry requirements and such laws, regulations and industry requirements are constantly evolving and changing.</w:t>
      </w:r>
    </w:p>
    <w:p>
      <w:pPr>
        <w:spacing w:after="0" w:line="4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receive, store and process data about or related to consumers in addition to advertisers, publishers, employees and services providers. Our handling of this data is subject to a variety of federal, state and foreign laws and regulations and is subject to regulation by various government authorities and other regulatory bodies. Our data handling is also subject to contractual obligations and may be deemed to be subject to industry standards.</w:t>
      </w:r>
    </w:p>
    <w:p>
      <w:pPr>
        <w:spacing w:after="0" w:line="187"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(“FTC”)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may also require us to change our business practices as well as have an adverse effect on our business, results of operations and financial condition.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regulatory framework for and enforcement of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consumers’ online browsing activity on web browsers, mobile devices and other devices, to associate such data with user or device identifiers or de-identified identities across devices and channels.</w:t>
      </w:r>
    </w:p>
    <w:p>
      <w:pPr>
        <w:spacing w:after="0" w:line="17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In addition, providers of Internet browsers, app stores or platforms such as Apple or Google have engaged in, or announced plans to continue or expand, efforts to provide increased visibility into, and certain controls over, cookies and similar technologies and the data collected using such technologies, as further described above in the section “—</w:t>
      </w:r>
      <w:r>
        <w:rPr>
          <w:rFonts w:ascii="Arial" w:cs="Arial" w:eastAsia="Arial" w:hAnsi="Arial"/>
          <w:sz w:val="17"/>
          <w:szCs w:val="17"/>
          <w:i w:val="1"/>
          <w:iCs w:val="1"/>
          <w:color w:val="auto"/>
        </w:rPr>
        <w:t>Risks Relating to our Business— If the use of digital advertising is rejected by consumers,</w:t>
      </w:r>
      <w:r>
        <w:rPr>
          <w:rFonts w:ascii="Arial" w:cs="Arial" w:eastAsia="Arial" w:hAnsi="Arial"/>
          <w:sz w:val="17"/>
          <w:szCs w:val="17"/>
          <w:color w:val="auto"/>
        </w:rPr>
        <w:t xml:space="preserve"> </w:t>
      </w:r>
      <w:r>
        <w:rPr>
          <w:rFonts w:ascii="Arial" w:cs="Arial" w:eastAsia="Arial" w:hAnsi="Arial"/>
          <w:sz w:val="17"/>
          <w:szCs w:val="17"/>
          <w:i w:val="1"/>
          <w:iCs w:val="1"/>
          <w:color w:val="auto"/>
        </w:rPr>
        <w:t>through opt-in, opt-out or ad-blocking technologies or other means, it could have an adverse effect on our business, results of operations and financial condition</w:t>
      </w:r>
      <w:r>
        <w:rPr>
          <w:rFonts w:ascii="Arial" w:cs="Arial" w:eastAsia="Arial" w:hAnsi="Arial"/>
          <w:sz w:val="17"/>
          <w:szCs w:val="17"/>
          <w:color w:val="auto"/>
        </w:rPr>
        <w:t>.” For example, in January 2020, Google announced that the Chrome browser will block third-party cookies at some point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24 months. Such providers could also change their technical requirements, guidelines or policies in other ways that adversely impact the way in which we or our customers collect, use and share data from user devices, including restricting our ability to use or read device identifiers, other tracking features or other device data. Because we, our advertisers and our publishers, rely upon large volumes of such data collected primarily through cookies and similar technologies, it is possible that these efforts may have a substantial impact on our ability to collect and use data from consumers, and it is essential that we monitor developments in this area domestically and globally, and engage in responsible privacy practices, including providing consumers with notice of the types of data we collect, how we use that data to provide our services and the ability to opt out of such use. There also is the risk that a provider could limit or discontinue our access to its platform or app store if it establishes more favorable relationships with one or more of our competitors or it determines that it is in their business interests to do so, and we would have no recourse against any such provider, which could have a material adverse effect on our business.</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the United States, the U.S. Congress and state legislatures, along with federal regulatory authorities have recently increased their attention on matters concerning the collection and use of consumer data, including by digital advertisers. For example, the FTC regulates digital advertising through the Federal Trade Commission Act, which prohibits “unfair” or “deceptive” trade practices, including misrepresentations regarding the collection and use of consumer data. States have also begun to introduce more comprehensive privacy legislation. California enacted the California Consumer Privacy Act of 2018 (the “CCPA”) that took effect on January 1, 2020. The CCPA gives California residents expanded rights to access and delete their personal information, opt out of sale of their personal information, and receive detailed information about how their personal information is used. The CCPA provides for civil penalties for violations, as well as a private right of action for certain data breaches, which is expected to increase the volume and success of class action data breach litigation. In addition to increasing our compliance costs and potential liability, the CCPA created restrictions on “sales” of personal information that may restrict the disclosure of personal information for advertising purposes. Our advertising business relies, in part, on such disclosure, and decreased availability and increased costs of information could adversely affect our ability to meet advertisers’ and publishers’ requirements and could have an adverse effect on our business, results of operations and financial condition.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will also be subject to the forthcoming California Privacy Rights Act (“CPRA”), which was passed into law on November 3, 2020, but will not take substantial effect until January 1, 2023. The CPRA will significantly modify the CCPA, including increasing regulation on online advertising and particularly cross-context behavioral advertising, potentially resulting in further uncertainty and requiring us to incur additional costs and expenses in an effort to comply.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CCPA has encouraged “copycat” laws and in other states across the country, such as in Virginia and Washington. This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8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In the EEA, we are subject to the General Data Protection Regulation 2016/679 (“GDPR”) and in the United Kingdom, we are subject to the United Kingdom data protection regime consisting primarily of the UK General Data Protection Regulation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 a strict data protection compliance regime including: providing detailed disclosures about how personal data is collected and processed (in a concise, intelligible and easily 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data processing; and complying with the principal of accountability and the obligation to demonstrate compliance through policies, procedures, training and audit. Fines for certain breaches of the GDPR and the UK data protection regime are significant (e.g., fines for certain breaches of the GDPR are up to the greater of 20 million Euros or 4% of total global annual turnover). In addition to the foregoing, a breach of the GDPR or UK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Further, in the European Union and the United Kingdom, we are subject to evolving EU and UK privacy laws on cookies and e-marketing. Regulators in these countries are increasingly focusing on compliance with requirements in the online behavioral advertising ecosystem, and current national laws that implement the ePrivacy Directive are highly likely to be replaced by an EU regulation known as the ePrivacy Regulation which will significantly increase fines for non-compliance.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and subject us to additional liabilities.</w:t>
      </w:r>
    </w:p>
    <w:p>
      <w:pPr>
        <w:spacing w:after="0" w:line="19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 Specifically, the GDPR, UK GDPR and other European and UK data protection laws generally prohibit the transfer of personal data from the EEA, UK and Switzerland, to the United States and most other countries unless the transfer is to 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entity established in a country deemed to be provide adequate protection (such as Israel) or the parties to the transfer have implemented specific safeguards to protect the transferred personal data. Where we transfer personal data outside the EEA to a country that is not deemed to be “adequate,” we ensure we comply with applicable laws including where we can rely on derogations (e.g., where the transfer is necessary for the performance of a contract) or we may put in place standard contractual clauses.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some jurisdictions may impose data localization laws, which require personal information, or certain subcategories of personal information to be stored in the jurisdiction of origin. These regulations may inhibit our ability to expand into those markets or prohibit us from continuing to offer our products in those markets without significant additional costs.</w:t>
      </w:r>
    </w:p>
    <w:p>
      <w:pPr>
        <w:spacing w:after="0" w:line="184"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also depend on a number of third-parties in relation to the operation of our business, a number of which process personal data on our behalf. With each such provider we attempt to mitigate the associated risks of using third parties by conducting due diligence, entering into contractual arrangements to require that providers only process personal data in accordance with the applicable laws, and that they have appropriate technical and organizational security measures in place. Where we transfer personal data outside the EEA or the United Kingdom to such third parties, we do so in compliance with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 In addition to government regulation, privacy advocacy and industry groups may propose new and different self-regulatory standards that either legally or contractually apply to us, our advertisers or our publishers. We are members of self-regulatory bodies such as Data Advertising Alliance, European Digital Advertising Alliance, Digital Advertising Alliance of Canada, National Advertising Initiative and Interactive Advertising Bureau (“IAB”), among others,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FTC or other regulatory bodies. If we were to be found responsible for such a violation, it could adversely affect our reputation, as well as our business, results of operations and financial condition.</w:t>
      </w:r>
    </w:p>
    <w:p>
      <w:pPr>
        <w:spacing w:after="0" w:line="17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Any failure to achieve the required data protection standards (which are sometimes unclear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potential liability and harm to our business based on the nature of our business and the content on our platform.</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Advertising often results in litigation relating to misleading or deceptive claims, copyright or trademark infringement, public performance royalties or other claims based on the nature and content of advertising that is distributed through our platform. Though we contractually require advertisers to generally represent to us that their advertisements comply with our ad standards and our inventory providers’ ad standards and that they have the rights necessary to serve advertisements through our platform, we do not independently verify whether we are permitted to deliver, or review the content of, such advertisements. If any of these representations are untrue, we may be exposed to potential liability and our reputation may be damaged. While our advertisers are typically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obligated to indemnify us, such indemnification may not fully cover us, or we may not be able to collect. In addition to settlement costs, we may be responsible for our own litigation costs, which can be expensive.</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are subject to anti-bribery, anti-corruption and similar laws and non-compliance with such laws can subject us to criminal penalties or significant fines and harm our business and reputation.</w:t>
      </w:r>
    </w:p>
    <w:p>
      <w:pPr>
        <w:spacing w:after="0" w:line="6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may be subject to certain economic and trade sanctions laws and regulations, export control and import laws and regulations, including those that are administered by the U.S. Department of Treasury’s Office of Foreign Assets Control, the U.S. Department of State, the U.S. Department of Commerce, the United Nations Security Council and other relevant governmental authorities.</w:t>
      </w:r>
    </w:p>
    <w:p>
      <w:pPr>
        <w:spacing w:after="0" w:line="18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are also subject to the FCPA, the U.K. Bribery Act, Chapter 9 (sub-chapter 5) of the Israeli Penal Law, 5737-1977, the Israeli Prohibition on Money Laundering Law, 5760-2000 and other anti-bribery laws in countries in which we conduct our activities. These laws generally prohibit companies, their employees and third-party intermediaries from authorizing, promising, offering, providing, soliciting or accepting, directly or indirectly, improper payments or benefits to or from any person whether in the public or private sector. In addition, the FCPA’s accounting provisions require us to maintain accurate books and records and a system of internal accounting controls. We have policies, procedures, systems and controls designed to promote compliance with applicable anti-corruption laws.</w:t>
      </w:r>
    </w:p>
    <w:p>
      <w:pPr>
        <w:spacing w:after="0" w:line="19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As we increase our global sales and business, we may engage with business partners and third-party intermediaries to market our solutions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authorize such activities.</w:t>
      </w:r>
    </w:p>
    <w:p>
      <w:pPr>
        <w:spacing w:after="0" w:line="18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Our advertisers or publishers may have consumers in countries that are subject to U.S. economic sanctions laws and regulations administered by the Office of Foreign Assets Control (“OFAC”), the Israeli Trade with the Enemy Ordinance, 1939 and sanction laws of the EU and other applicable jurisdictions, which prohibit the sale of products to embargoed jurisdictions or sanctioned parties (“Sanctioned Countries”). We have taken steps to avoid serving advertisements to consumers located in Sanctioned Countries and are implementing various control mechanisms designed to prevent unauthorized dealings with Sanctioned Countries going forward. Although we have taken precautions to prevent our solutions from being provided, deployed or used in violation of sanctions laws, due to the remote nature of our solutions and the potential for manipulation using VPNs, we cannot assure you that our policies and procedures relating to sanctions compliance will prevent any violations in the future. If we are found to be in violation of any applicable sanctions regulations, it can result in significant fines or penalties and possible incarceration for responsible employees and managers, as well as reputational harm and loss of business.</w:t>
      </w:r>
    </w:p>
    <w:p>
      <w:pPr>
        <w:spacing w:after="0" w:line="18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Despite our compliance efforts and activities, there can be no assurance that our employees or representatives will comply with the relevant laws and we may be held responsible. Noncompliance with anti-corruption, anti-money laundering, export control, economic and trade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initiated, or governmental or other sanctions are imposed, or if we do not prevail in any possible civil or criminal litigation, our business, financial condition and results of operations could be materially harmed. Responding to any action could result in a materially significant diversion of management’s attention and resources and significant defense and compliance costs and other professional fees. In addition, regulatory authorities may seek to hold us liable for successor liability for violations committed by companies in which we invest or that we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acquire. As a general matter, enforcement actions and sanctions could harm our business, financial condition and results of operations.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ADSs and the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ADSs may be volatile, and you may lose all or part of your investment.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initial public offering price for the ADSs sold in this offering will be determined by negotiation between us and representatives of the underwriters. This price may not reflect the market price of our ADSs following this offering and the price of our ADSs may decline. In addition, the market price of our ADSs could be highly volatile and may fluctuate substantially as a result of many factors, including:</w:t>
      </w:r>
    </w:p>
    <w:p>
      <w:pPr>
        <w:spacing w:after="0" w:line="8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direct or indirect competition of significant business developments, changes in service provider relationships, acquisitions or expansion plans;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 on our management, employees, partners, merchants and operating results;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of laws or regulations affecting our business;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pricing model;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involvement in litigation or regulatory 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sale of ADSs or other securities in the future;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implementation of a buyback program for our ADSs or ordinary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duel listing and the trading of our ordinary shares on the AIM;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trading volume of our ADSs;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competition or our industry,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ADSs,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There has been no prior public market for our ADSs prior to this offering, and an active trading market may not develop in which investors can resell our ADSs.</w:t>
      </w:r>
    </w:p>
    <w:p>
      <w:pPr>
        <w:spacing w:after="0" w:line="6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ADSs, although our ordinary shares have traded on AIM. An active trading market for our ADSs may not develop following the closing of this offering or, if developed, may not be sustained. The lack of an active market may impair your ability to sell your ADSs at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time you wish to sell them or at a price that you consider reasonable. An inactive market may also impair our ability to raise capital by selling ADSs and may impair our ability to acquire other companies by using our ADSs as consideration.</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do not meet the expectations of equity research analysts, if they do not publish research or reports about our business or if they issue unfavorable commentary or downgrade our ADSs, the price of our ADSs could decline.</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trading market for our ADSs will rely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ADSs could decline. Moreover, the price of our ADSs could decline if one or more securities analysts downgrade our ADSs or if those analysts issue other unfavorable commentary or cease publishing reports about us or our business.</w:t>
      </w:r>
    </w:p>
    <w:p>
      <w:pPr>
        <w:spacing w:after="0" w:line="29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The dual listing of our ordinary shares and our ADSs following this offering may adversely affect the liquidity and value of our ordinary shares and ADSs.</w:t>
      </w:r>
    </w:p>
    <w:p>
      <w:pPr>
        <w:spacing w:after="0" w:line="62"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Following this offering and after our ADSs begin trading on , our ordinary shares will continue to be admitted to trading on AIM in a different currency (U.S. dollars on , and £ on the AIM), and at different times (resulting from different time zones and different public holidays</w:t>
      </w:r>
    </w:p>
    <w:p>
      <w:pPr>
        <w:jc w:val="both"/>
        <w:ind w:left="120"/>
        <w:spacing w:after="0" w:line="269" w:lineRule="auto"/>
        <w:rPr>
          <w:sz w:val="20"/>
          <w:szCs w:val="20"/>
          <w:color w:val="auto"/>
        </w:rPr>
      </w:pPr>
      <w:r>
        <w:rPr>
          <w:rFonts w:ascii="Arial" w:cs="Arial" w:eastAsia="Arial" w:hAnsi="Arial"/>
          <w:sz w:val="17"/>
          <w:szCs w:val="17"/>
          <w:color w:val="auto"/>
        </w:rPr>
        <w:t>in the United States and the U.K.). We cannot predict the effect of this dual listing on the value of our ADSs and ordinary shares. However, the dual listing of our ADSs and ordinary shares may dilute the liquidity of these securities in one or both markets and may adversely affect the development of an active trading market for our ADSs in the United States. The price of our ADSs could also be adversely affected by trading in our ordinary shares on AIM. Although our ordinary shares are currently admitted to trading on AIM, we may decide to cancel the admission of our ordinary shares to trading on AIM. Cancellation of the admission of our ordinary shares to trading on AIM would require the requisite consent of shareholders in a general meeting prescribed by AIM Rules for Companies, unless the London Stock Exchange agrees otherwise. We cannot predict the effect such cancellation would have on the market price of our ADSs or ordinary shares.</w:t>
      </w:r>
    </w:p>
    <w:p>
      <w:pPr>
        <w:spacing w:after="0" w:line="28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Securities Act, and we cannot be certain if the reduced disclosure requirements applicable to emerging growth companies will make our ADSs less attractive to investors because we may rely on these reduced disclosure requirements.</w:t>
      </w:r>
    </w:p>
    <w:p>
      <w:pPr>
        <w:spacing w:after="0" w:line="7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We are eligible to be treated as an emerging growth company, as defined in Section 2(a) of the Securities Act, as modified by the JOBS Act. For as long as we continue to be an emerging growth company, we may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 of the Sarbanes-Oxley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$1.07 billion, if we issue more than $1.0 billion in non-convertible debt securities during any three-year period, or if before that time we are a “large accelerated filer” under U.S. securities laws. We cannot predict if investors will find our ADSs less attractive because we may rely on these exemptions. If some investors find our ordinary shares less attractive as a result, there may be a less active trading market for our ordinary shares and our share price may be more volatile.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Upon the closing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although we are subject to Israeli laws and regulations with regard to certain of these matters and intend to furnish comparable quarterly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17" w:lineRule="exact"/>
        <w:rPr>
          <w:sz w:val="20"/>
          <w:szCs w:val="20"/>
          <w:color w:val="auto"/>
        </w:rPr>
      </w:pPr>
    </w:p>
    <w:p>
      <w:pPr>
        <w:jc w:val="both"/>
        <w:ind w:left="120" w:right="20" w:firstLine="440"/>
        <w:spacing w:after="0" w:line="283" w:lineRule="auto"/>
        <w:rPr>
          <w:sz w:val="20"/>
          <w:szCs w:val="20"/>
          <w:color w:val="auto"/>
        </w:rPr>
      </w:pPr>
      <w:r>
        <w:rPr>
          <w:rFonts w:ascii="Arial" w:cs="Arial" w:eastAsia="Arial" w:hAnsi="Arial"/>
          <w:sz w:val="16"/>
          <w:szCs w:val="16"/>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2021.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w:t>
      </w:r>
    </w:p>
    <w:p>
      <w:pPr>
        <w:spacing w:after="0" w:line="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corporate governance rules of . As a U.S. listed public company that is not a foreign private issuer, we will incur significant additional legal, accounting and other expenses that we will not incur as a foreign private issuer.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As we are a “foreign private issuer” and intend to follow certain home country corporate governance practices, our shareholders may not have the</w:t>
      </w:r>
    </w:p>
    <w:p>
      <w:pPr>
        <w:spacing w:after="0" w:line="58" w:lineRule="exact"/>
        <w:rPr>
          <w:sz w:val="20"/>
          <w:szCs w:val="20"/>
          <w:color w:val="auto"/>
        </w:rPr>
      </w:pPr>
    </w:p>
    <w:p>
      <w:pPr>
        <w:ind w:left="120"/>
        <w:spacing w:after="0"/>
        <w:tabs>
          <w:tab w:leader="none" w:pos="6640" w:val="left"/>
          <w:tab w:leader="none" w:pos="9640" w:val="left"/>
        </w:tabs>
        <w:rPr>
          <w:sz w:val="20"/>
          <w:szCs w:val="20"/>
          <w:color w:val="auto"/>
        </w:rPr>
      </w:pPr>
      <w:r>
        <w:rPr>
          <w:rFonts w:ascii="Arial" w:cs="Arial" w:eastAsia="Arial" w:hAnsi="Arial"/>
          <w:sz w:val="18"/>
          <w:szCs w:val="18"/>
          <w:b w:val="1"/>
          <w:bCs w:val="1"/>
          <w:i w:val="1"/>
          <w:iCs w:val="1"/>
          <w:color w:val="auto"/>
        </w:rPr>
        <w:t>same protections afforded to shareholders of companies that are subject to all</w:t>
      </w:r>
      <w:r>
        <w:rPr>
          <w:sz w:val="20"/>
          <w:szCs w:val="20"/>
          <w:color w:val="auto"/>
        </w:rPr>
        <w:tab/>
      </w:r>
      <w:r>
        <w:rPr>
          <w:rFonts w:ascii="Arial" w:cs="Arial" w:eastAsia="Arial" w:hAnsi="Arial"/>
          <w:sz w:val="18"/>
          <w:szCs w:val="18"/>
          <w:b w:val="1"/>
          <w:bCs w:val="1"/>
          <w:i w:val="1"/>
          <w:iCs w:val="1"/>
          <w:color w:val="auto"/>
        </w:rPr>
        <w:t>corporate governance rules of</w:t>
      </w:r>
      <w:r>
        <w:rPr>
          <w:sz w:val="20"/>
          <w:szCs w:val="20"/>
          <w:color w:val="auto"/>
        </w:rPr>
        <w:tab/>
      </w:r>
      <w:r>
        <w:rPr>
          <w:rFonts w:ascii="Arial" w:cs="Arial" w:eastAsia="Arial" w:hAnsi="Arial"/>
          <w:sz w:val="13"/>
          <w:szCs w:val="13"/>
          <w:b w:val="1"/>
          <w:bCs w:val="1"/>
          <w:i w:val="1"/>
          <w:iCs w:val="1"/>
          <w:color w:val="auto"/>
        </w:rPr>
        <w:t>.</w:t>
      </w:r>
    </w:p>
    <w:p>
      <w:pPr>
        <w:spacing w:after="0" w:line="103" w:lineRule="exact"/>
        <w:rPr>
          <w:sz w:val="20"/>
          <w:szCs w:val="20"/>
          <w:color w:val="auto"/>
        </w:rPr>
      </w:pPr>
    </w:p>
    <w:p>
      <w:pPr>
        <w:ind w:left="560"/>
        <w:spacing w:after="0"/>
        <w:tabs>
          <w:tab w:leader="none" w:pos="11060" w:val="left"/>
        </w:tabs>
        <w:rPr>
          <w:sz w:val="20"/>
          <w:szCs w:val="20"/>
          <w:color w:val="auto"/>
        </w:rPr>
      </w:pPr>
      <w:r>
        <w:rPr>
          <w:rFonts w:ascii="Arial" w:cs="Arial" w:eastAsia="Arial" w:hAnsi="Arial"/>
          <w:sz w:val="18"/>
          <w:szCs w:val="18"/>
          <w:color w:val="auto"/>
        </w:rPr>
        <w:t>As a foreign private issuer, we have the option to follow certain home country corporate governance practices rather than those of</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provided that we disclose the requirements we are not following and describe the home country practices we are following. We intend to rely on this</w:t>
      </w:r>
    </w:p>
    <w:p>
      <w:pPr>
        <w:spacing w:after="0" w:line="32"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8"/>
          <w:szCs w:val="18"/>
          <w:color w:val="auto"/>
        </w:rPr>
        <w:t>“foreign private issuer exemption” with respect to rules for shareholder meeting quorums and rules requiring shareholder approval. We may in the future elect to follow home country practices with regard to other matters. As a result, our shareholders may not have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tabs>
          <w:tab w:leader="none" w:pos="6040" w:val="left"/>
          <w:tab w:leader="none" w:pos="8960" w:val="left"/>
        </w:tabs>
        <w:rPr>
          <w:sz w:val="20"/>
          <w:szCs w:val="20"/>
          <w:color w:val="auto"/>
        </w:rPr>
      </w:pPr>
      <w:r>
        <w:rPr>
          <w:rFonts w:ascii="Arial" w:cs="Arial" w:eastAsia="Arial" w:hAnsi="Arial"/>
          <w:sz w:val="18"/>
          <w:szCs w:val="18"/>
          <w:color w:val="auto"/>
        </w:rPr>
        <w:t>protections afforded to shareholders of companies that are subject to all</w:t>
      </w:r>
      <w:r>
        <w:rPr>
          <w:sz w:val="20"/>
          <w:szCs w:val="20"/>
          <w:color w:val="auto"/>
        </w:rPr>
        <w:tab/>
      </w:r>
      <w:r>
        <w:rPr>
          <w:rFonts w:ascii="Arial" w:cs="Arial" w:eastAsia="Arial" w:hAnsi="Arial"/>
          <w:sz w:val="18"/>
          <w:szCs w:val="18"/>
          <w:color w:val="auto"/>
        </w:rPr>
        <w:t>corporate governance rules of</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ADSs could be negatively affected by future issuances and sales of our ADSs or ordinary shares.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After this offering, there will be ordinary shares outstanding. Sales by us or our shareholders of a substantial number of ADSs or ordinary shares in the public market following this offering, or the perception that these sales might occur, could cause the market price of our ADSs to decline or could impair our ability to raise capital through a future sale of, or pay for acquisitions using, our equity securities. Of our issued and outstanding shares, all the ADSs sold in this offering will be freely transferable, except for any shares acquired by our “affiliates,” as that term is defined in Rule 144 under the Securities Act.</w:t>
      </w:r>
    </w:p>
    <w:p>
      <w:pPr>
        <w:spacing w:after="0" w:line="2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which could result in adverse U.S. federal income tax consequences to United States Holders of our ADSs.</w:t>
      </w:r>
    </w:p>
    <w:p>
      <w:pPr>
        <w:spacing w:after="0" w:line="62"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would be classified as a passive foreign investment company (“PFIC”) for any taxable year if, after the application of certain look-through rules, either: (i) 75% or more of our gross income for such year is “passive income” (as defined in the relevant provisions of the Internal Revenue Code of 1986, as amended), or (ii) 50% or more of the value of our assets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25% or more (by value) of the stock. Based on the current and anticipated composition of our income, assets and operations, and the expected price of the ADSs in this offering, we do not expect to be treated as a PFIC for the current taxable year or in the foreseeable future. However, whether we are a PFIC is a factual determination that must be made annually after the close of each taxable year. Moreover, the value of our assets for purposes of the PFIC determination may be determined by reference to the public price of our ADSs at this initial public offering and future prices, which could fluctuate significantly. In addition, it is possible that the Internal Revenue Service (the “IRS”) may take a contrary position with respect to our determination in any particular year, and therefore, there can be no assurance that we will not be classified as a PFIC in the current taxable year or in the future. Certain adverse U.S. federal income tax consequences could apply to a United States Holder (as defined in “</w:t>
      </w:r>
      <w:r>
        <w:rPr>
          <w:rFonts w:ascii="Arial" w:cs="Arial" w:eastAsia="Arial" w:hAnsi="Arial"/>
          <w:sz w:val="16"/>
          <w:szCs w:val="16"/>
          <w:i w:val="1"/>
          <w:iCs w:val="1"/>
          <w:color w:val="auto"/>
        </w:rPr>
        <w:t>Taxation—U.S. Federal Income Tax Considerations</w:t>
      </w:r>
      <w:r>
        <w:rPr>
          <w:rFonts w:ascii="Arial" w:cs="Arial" w:eastAsia="Arial" w:hAnsi="Arial"/>
          <w:sz w:val="16"/>
          <w:szCs w:val="16"/>
          <w:color w:val="auto"/>
        </w:rPr>
        <w:t>”) if we are treated as a PFIC for any taxable year during which such United States Holder holds our ADSs. United States Holders should consult their tax advisors about the potential application of the PFIC rules to their investment in our ADSs. For further discussion, see “</w:t>
      </w:r>
      <w:r>
        <w:rPr>
          <w:rFonts w:ascii="Arial" w:cs="Arial" w:eastAsia="Arial" w:hAnsi="Arial"/>
          <w:sz w:val="16"/>
          <w:szCs w:val="16"/>
          <w:i w:val="1"/>
          <w:iCs w:val="1"/>
          <w:color w:val="auto"/>
        </w:rPr>
        <w:t>Taxation—Passive Foreign Investment Company</w:t>
      </w:r>
      <w:r>
        <w:rPr>
          <w:rFonts w:ascii="Arial" w:cs="Arial" w:eastAsia="Arial" w:hAnsi="Arial"/>
          <w:sz w:val="16"/>
          <w:szCs w:val="16"/>
          <w:color w:val="auto"/>
        </w:rPr>
        <w:t>.”</w:t>
      </w:r>
    </w:p>
    <w:p>
      <w:pPr>
        <w:spacing w:after="0" w:line="28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ADSs, such holder may be subject to adverse U.S. federal income tax consequences.</w:t>
      </w:r>
    </w:p>
    <w:p>
      <w:pPr>
        <w:spacing w:after="0" w:line="6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If a United States person is treated as owning (directly, indirectly or constructively) at least 10% of the value or voting power of our ADSs, such person may be treated as a “United States shareholder” with respect to each controlled foreign corporation (“CFC”) in our group (if any). Because our group includes U.S. subsidiaries, certain of our non-U.S. subsidiaries could be treated as CFCs (regardless of whether or not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reporting was due from starting. We cannot provide any assurances that we will assist investors in determining whether we are or any of our non-U.S. subsidiaries is treated as a CFC or whether any investor is treated as a United States shareholder with respect to any such CFC or furnish to any United States shareholders information that may be necessary to comply with the aforementioned reporting and tax paying obligations. The IRS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ADSs.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ADSs in this offering, you will suffer immediate dilution of your investment.</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We expect the initial public offering price of our ADSs in this offering to be substantially higher than the net tangible book value per ADS prior to this offering. Therefore, if you purchase ADSs in this offering, you will pay a price per ADS that substantially exceeds our net tangible book value per ADS after this offering. To the extent additional ordinary shares are issued upon the exercise of outstanding options or the vesting of outstanding RSUs,</w:t>
      </w:r>
    </w:p>
    <w:p>
      <w:pPr>
        <w:spacing w:after="0" w:line="2"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you may experience further dilution. Based on the assumed initial public offering price of $ per ADS, which reflects the U.S. dollar equivalent of the closing price of our ordinary shares on AIM of £ on , 2021 (based on an assumed exchange rate of £1.00 to $1. ), you will experience immediate dilution of $ per ADS, representing the difference between our net tangible book value per ADS and per ordinary share</w:t>
      </w:r>
    </w:p>
    <w:p>
      <w:pPr>
        <w:ind w:left="120"/>
        <w:spacing w:after="0"/>
        <w:rPr>
          <w:sz w:val="20"/>
          <w:szCs w:val="20"/>
          <w:color w:val="auto"/>
        </w:rPr>
      </w:pPr>
      <w:r>
        <w:rPr>
          <w:rFonts w:ascii="Arial" w:cs="Arial" w:eastAsia="Arial" w:hAnsi="Arial"/>
          <w:sz w:val="18"/>
          <w:szCs w:val="18"/>
          <w:color w:val="auto"/>
        </w:rPr>
        <w:t>after giving effect to this and the assumed offering price. See “</w:t>
      </w:r>
      <w:r>
        <w:rPr>
          <w:rFonts w:ascii="Arial" w:cs="Arial" w:eastAsia="Arial" w:hAnsi="Arial"/>
          <w:sz w:val="18"/>
          <w:szCs w:val="18"/>
          <w:i w:val="1"/>
          <w:iCs w:val="1"/>
          <w:color w:val="auto"/>
        </w:rPr>
        <w:t>Dilution</w:t>
      </w:r>
      <w:r>
        <w:rPr>
          <w:rFonts w:ascii="Arial" w:cs="Arial" w:eastAsia="Arial" w:hAnsi="Arial"/>
          <w:sz w:val="18"/>
          <w:szCs w:val="18"/>
          <w:color w:val="auto"/>
        </w:rPr>
        <w:t>.”</w:t>
      </w:r>
    </w:p>
    <w:p>
      <w:pPr>
        <w:spacing w:after="0" w:line="31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 in this offering and may not apply the proceeds in ways that increase the value of your investment.</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intend to use the net proceeds from this offering for working capital, general corporate purposes and to fund incremental growth, including for possible acquisitions. However, we do not currently have any definitive or preliminary plans with respect to the use of proceeds for such purposes. Consequently, our management will have broad discretion over the specific use of these net proceeds and may do so in a way with which our investors disagree. The failure by our management to apply and invest these funds effectively may not yield a favorable return to our investors and may adversely affect our business and financial condition. Pending their use, we may invest the net proceeds from this offering in a manner that does not produce income or that loses value. If we do not use the net proceeds that we receive in this offering effectively, our business, results of operations and financial condition could be adversely affected.</w:t>
      </w:r>
    </w:p>
    <w:p>
      <w:pPr>
        <w:spacing w:after="0" w:line="30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U.S. listed public company, and our management will be required to devote substantial time to new compliance initiatives and corporate governance practices.</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As a U.S. listed public company, and particularly after we are no longer an emerging growth company, we will incur significant legal, accounting and other expenses that we did not incur previously. The Sarbanes-Oxley Act, the Dodd-Frank Wall Street Reform and the Consumer Protection Act, the</w:t>
      </w:r>
    </w:p>
    <w:p>
      <w:pPr>
        <w:jc w:val="both"/>
        <w:ind w:left="120"/>
        <w:spacing w:after="0" w:line="252" w:lineRule="auto"/>
        <w:rPr>
          <w:sz w:val="20"/>
          <w:szCs w:val="20"/>
          <w:color w:val="auto"/>
        </w:rPr>
      </w:pPr>
      <w:r>
        <w:rPr>
          <w:rFonts w:ascii="Arial" w:cs="Arial" w:eastAsia="Arial" w:hAnsi="Arial"/>
          <w:sz w:val="18"/>
          <w:szCs w:val="18"/>
          <w:color w:val="auto"/>
        </w:rPr>
        <w:t>listing requirements of and their applicable securities rules and regulations impose various requirements on non-U.S. reporting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may make it more difficult and more expensive for us to obtain director and officer liability insurance and make it more difficult for us to attract and retain qualified members of our board of directors.</w:t>
      </w:r>
    </w:p>
    <w:p>
      <w:pPr>
        <w:spacing w:after="0" w:line="19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Because we may not pay any cash dividends on our ADSs in the future, capital appreciation, if any, may be your sole source of gains and you may never receive a return on your investment.</w:t>
      </w:r>
    </w:p>
    <w:p>
      <w:pPr>
        <w:spacing w:after="0" w:line="62"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Israeli Companies Law, 5759-1999, or the Companies Law, imposes restrictions on our ability to declare and pay dividends. See “</w:t>
      </w:r>
      <w:r>
        <w:rPr>
          <w:rFonts w:ascii="Arial" w:cs="Arial" w:eastAsia="Arial" w:hAnsi="Arial"/>
          <w:sz w:val="16"/>
          <w:szCs w:val="16"/>
          <w:i w:val="1"/>
          <w:iCs w:val="1"/>
          <w:color w:val="auto"/>
        </w:rPr>
        <w:t>Description of Share Capital and Articles of Association</w:t>
      </w:r>
      <w:r>
        <w:rPr>
          <w:rFonts w:ascii="Arial" w:cs="Arial" w:eastAsia="Arial" w:hAnsi="Arial"/>
          <w:sz w:val="16"/>
          <w:szCs w:val="16"/>
          <w:color w:val="auto"/>
        </w:rPr>
        <w:t>” for additional information. Payment of dividends may also be subject to Israeli withholding taxes. See “</w:t>
      </w:r>
      <w:r>
        <w:rPr>
          <w:rFonts w:ascii="Arial" w:cs="Arial" w:eastAsia="Arial" w:hAnsi="Arial"/>
          <w:sz w:val="16"/>
          <w:szCs w:val="16"/>
          <w:i w:val="1"/>
          <w:iCs w:val="1"/>
          <w:color w:val="auto"/>
        </w:rPr>
        <w:t>Taxation</w:t>
      </w:r>
      <w:r>
        <w:rPr>
          <w:rFonts w:ascii="Arial" w:cs="Arial" w:eastAsia="Arial" w:hAnsi="Arial"/>
          <w:sz w:val="16"/>
          <w:szCs w:val="16"/>
          <w:color w:val="auto"/>
        </w:rPr>
        <w:t>” for additional information. As a result, capital appreciation, if any, on our ADSs may be your sole source of gains, and you will suffer a loss on your investment if you are unable to sell your ADSs at or above the offering price. See “</w:t>
      </w:r>
      <w:r>
        <w:rPr>
          <w:rFonts w:ascii="Arial" w:cs="Arial" w:eastAsia="Arial" w:hAnsi="Arial"/>
          <w:sz w:val="16"/>
          <w:szCs w:val="16"/>
          <w:i w:val="1"/>
          <w:iCs w:val="1"/>
          <w:color w:val="auto"/>
        </w:rPr>
        <w:t>Dividend Policy</w:t>
      </w:r>
      <w:r>
        <w:rPr>
          <w:rFonts w:ascii="Arial" w:cs="Arial" w:eastAsia="Arial" w:hAnsi="Arial"/>
          <w:sz w:val="16"/>
          <w:szCs w:val="16"/>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Securities traded on AIM may carry a higher risk than securities traded on other exchanges, which may impact the value of your investment.</w:t>
      </w:r>
    </w:p>
    <w:p>
      <w:pPr>
        <w:spacing w:after="0" w:line="140"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the Nasdaq Stock Market. This is because AIM is less heavily regulated and imposes less stringent corporate governance and ongoing reporting requirements than those other exchanges. In addition, AIM requires only half-yearly, rather than quarterly (which would apply to us in the U.S., if we are no longer classified as a foreign private issuer), financial reporting. You should be aware that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 market price of our ordinary shares, our ADSs or the ordinary shares underlying our ADSs, may not reflect the underlying value of our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not be able to exercise your right to vote the ordinary shares underlying your ADSs.</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ADS holders may only exercise voting rights with respect to the ordinary shares underlying their respective ADSs in accordance with the provisions of the deposit agreement, which provides that a holder may vote the ordinary shares underlying any ADSs for any particular matter to be voted on by our shareholders either by withdrawing the ordinary shares underlying the ADSs or, to the extent permitted by applicable law and as permitted by the depositary, by requesting a temporary registration as shareholder and authorizing the depositary to act as proxy. However, you may not know about the meeting far enough in advance to withdraw those ordinary shares, and after such a withdrawal you would no longer hold ADSs, but rather you would directly hold the underlying ordinary shares. You also may not know about the meeting far enough in advance to request a temporary registration.</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 depositary will try, as far as practical, to vote the ordinary shares underlying the ADSs as instructed by the ADS holders. In such an instance, if we ask for your instructions, the depositary, upon timely notice from us, will notify you of the upcoming vote and arrange to deliver our voting materials to you. We cannot guarantee that you will receive the voting materials in time to ensure that you can instruct the depositary to vote your ordinary shares or to withdraw your ordinary shares so that you can vote them yourself. If the depositary does not receive timely voting instructions from you, it may give a discretionary proxy to a person designated by us to vote the ordinary shares underlying your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Voting instructions may be given only in respect of a number of ADSs representing an integral number of ordinary shares or other deposited securities. In addition, the depositary and its agents are not responsible for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failing to carry out voting instructions or for the manner of carrying out voting instructions. This means that you may not be able to exercise any right to vote that you may have with respect to the underlying ordinary shares, and there may be nothing you can do if the ordinary shares underlying your ADSs are not voted as you requested. In addition, the depositary is only required to notify you of any particular vote if it receives notice from us in advance of the scheduled meeting.</w:t>
      </w:r>
    </w:p>
    <w:p>
      <w:pPr>
        <w:spacing w:after="0" w:line="295"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You will not be directly holding our ordinary shares. Holders of the ADSs will not be able to exercise the preemptive subscription rights related to the ordinary shares that they represent and may suffer dilution of their equity holding in the event of future issuances of our ordinary shares.</w:t>
      </w:r>
    </w:p>
    <w:p>
      <w:pPr>
        <w:spacing w:after="0" w:line="1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As an AIM-quoted company, our articles of association currently in effect follow English law which generally provides shareholders with preemptive rights when new shares are issued for cash. Shareholders’ preemptive subscription rights, in the event of issuances of ordinary shares against cash payment, may be disapplied by a special resolution of the shareholders at a general meeting of our shareholders. The absence of preemptive rights for existing equity holders may cause dilution to such holders.</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Furthermore, the ADS holders would not be entitled, even if such rights accrued to our shareholders in any given instance, to receive such preemptive subscription rights related to the ordinary shares that they represent. Rather, the depositary is required to endeavor to sell any such subscription rights that may accrue to the ordinary shares underlying the ADSs and to remit the net proceeds therefrom to the ADS holders pro rata. In addition, if the depositary is unable to sell rights, the depositary will allow the rights to lapse, in which case you will receive no value for these rights. Further, if we offer holders of our ordinary shares the option to receive dividends in either cash or ordinary shares, under the deposit agreement, ADS holders will not be permitted to elect to receive dividends in ordinary shares or cash, but will receive whichever option we provide as a default to shareholders who fail to make such an election.</w:t>
      </w:r>
    </w:p>
    <w:p>
      <w:pPr>
        <w:spacing w:after="0" w:line="30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Purchasers of ADSs in this offering may not receive distributions on our ordinary shares in the form of ADSs or any value for them if it is illegal or impractical to make them available to holders of ADSs.</w:t>
      </w:r>
    </w:p>
    <w:p>
      <w:pPr>
        <w:spacing w:after="0" w:line="6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The depositary for our ADSs has agreed to pay to purchasers of ADSs in this offering the cash dividends or other distributions it or the custodian receives on our ordinary shares or other deposited securities after deducting its fees and expenses. Purchasers of our ADSs will receive these distributions in proportion to the number of our ordinary shares their ADSs represent. However, in accordance with the limitations set forth in the deposit agreement, it may be unlawful or impractical to make a distribution available to holders of ADSs. We have no obligation to take any other action to permit the distribution of our ADSs, ordinary shares, rights or anything else to holders of our ADSs. This means that purchasers of ADSs in this offering may not receive the distributions we make on our ordinary shares or any value from them if it is unlawful or impractical to make them available to them. These restrictions may have a material adverse effect on the value of a purchaser’s ADSs.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of ADSs in this offering may be subject to limitations on transfer of their ADSs.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Exposure to foreign currency exchange rate fluctuations could negatively impact our results of operations.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While the majority of the transactions through our platform are denominated in U.S. dollars, we have transacted in foreign currencies, both for inventory and for payments by advertisers or publishers from use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platform. We also have expenses denominated in currencies other than the U.S. dollar. Given our anticipated international growth, we expect the number of transactions in a variety of foreign currencies to continue to grow in the future. While we generally require a fee from advertisers or publishers that pay in non-U.S. currency, this fee may not always cover foreign currency exchange rate fluctuations. Although we currently have a program to hedge exposure to foreign currency fluctuations, the use of hedging instruments may not be available for all currencies or may not always offset losses resulting from foreign currency exchange rate fluctuations. Moreover, the use of hedging instruments can itself result in losses if we are unable to structure effective hedges with such instruments.</w:t>
      </w:r>
    </w:p>
    <w:p>
      <w:pPr>
        <w:spacing w:after="0" w:line="30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A small number of significant beneficial owners of our shares acting together have significant influence over matters requiring shareholder approval, which could delay or prevent a change of control.</w:t>
      </w:r>
    </w:p>
    <w:p>
      <w:pPr>
        <w:spacing w:after="0" w:line="62"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The three largest beneficial owners of our ordinary shares, entities and individuals affiliated with Mithaq Capital SPC, Toscafund Asset Management LLP and Schroder Investment Management, each of which currently beneficially owns more than 10.0% of our outstanding ordinary</w:t>
      </w:r>
    </w:p>
    <w:p>
      <w:pPr>
        <w:jc w:val="both"/>
        <w:ind w:left="120"/>
        <w:spacing w:after="0" w:line="253" w:lineRule="auto"/>
        <w:rPr>
          <w:sz w:val="20"/>
          <w:szCs w:val="20"/>
          <w:color w:val="auto"/>
        </w:rPr>
      </w:pPr>
      <w:r>
        <w:rPr>
          <w:rFonts w:ascii="Arial" w:cs="Arial" w:eastAsia="Arial" w:hAnsi="Arial"/>
          <w:sz w:val="18"/>
          <w:szCs w:val="18"/>
          <w:color w:val="auto"/>
        </w:rPr>
        <w:t>shares, and in the aggregate 52.0% of our ordinary shares, are expected to beneficially own in the aggregate % of our ordinary shares after this offering, or % if the underwriters exercise in full their option to purchase additional ADSs in this offering. As a result, these shareholders, acting together, could exercise significant influence over our operations and business strategy and will have sufficient voting power to influence the outcome of matters requiring shareholder approval. These matters may include:</w:t>
      </w:r>
    </w:p>
    <w:p>
      <w:pPr>
        <w:spacing w:after="0" w:line="9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amending our articles of association which govern the rights attached to our ordinary shares.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This concentration of ownership of our ADSs or ordinary shares could delay or prevent proxy contests, mergers, tender offers, open-market purchase programs or other purchases of our ADSs or ordinary shares that might otherwise give you the opportunity to realize a premium over the then-prevailing market price of our ADSs. This concentration of ownership may also adversely affect our share price.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This prospectus contains estimates and forward-looking statements. In some cases, these forward-looking statements can be identified by words or phrases such as “may,” “might,” “will,” “could,” “would,” “should,” “expect,” “plan,” “anticipate,” “intend,” “seek,” “believe,” “estimate,” “predict,” “potential,” “continue,” “contemplate,” “possible” or the negative of these terms or similar expressions. Forward-looking statements contained in this prospectus include, but are not limited to, statements about:</w:t>
      </w:r>
    </w:p>
    <w:p>
      <w:pPr>
        <w:spacing w:after="0" w:line="92" w:lineRule="exact"/>
        <w:rPr>
          <w:sz w:val="20"/>
          <w:szCs w:val="20"/>
          <w:color w:val="auto"/>
        </w:rPr>
      </w:pPr>
    </w:p>
    <w:p>
      <w:pPr>
        <w:ind w:left="1080" w:right="20" w:hanging="532"/>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success and revenue growth is dependent on adding new advertisers and publishers, effectively educating and training our existing advertisers and publishers on how to make full use of our platform and increasing usage of our platform by advertisers and publishers;</w:t>
      </w:r>
    </w:p>
    <w:p>
      <w:pPr>
        <w:spacing w:after="0" w:line="29"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depends on our ability to maintain and expand access to advertising spend, including spend from a limited number of DSPs, agencies and advertisers;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business depends on our ability to maintain and expand access to valuable inventory from publishers, including our largest publishers;</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attract and retain advertisers and publishers if we may fail to make the right investment decisions in our platform, or innovate and develop new solutions that are adopted by advertisers and publishers;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parts of our business depend on relationships with data providers for data sets used to deliver targeted campaigns;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depends on our ability to collect, use and disclose certain data, including CTV data, to deliver advertisements. Any limitation imposed on our collection, use or disclosure of this data could significantly diminish the value of our platform;</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use of third-party “cookies,” mobile device IDs, CTV data collection or other tracking technologies is restricted without similar or better alternatives (and adoption of such alternatives), our platform’s effectiveness could be diminished;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meet content and inventory standards and provide services that our advertisers and publishers trust could harm our brand and reputation;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must grow rapidly to remain a market leader and to accomplish our strategic objective;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for programmatic buying for advertising campaigns is relatively new and evolving;</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rejection of digital advertising by consumers through opt-in, opt-out or ad-blocking technologies or other means;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scale our platform infrastructure to support anticipated growth and transaction volume;</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to service from our third-party data center hosting facilities and cloud computing and hosting providers could impair the delivery of our services;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liability and harm to our business based on the human factor of inputting information into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failure to protect our intellectual property rights;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non-proprietary technology, software, products and services that we use are unavailable, have future terms we cannot agree to or do not perform as we expect;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overall demand for advertising;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decrease in the use of the advertising or publishing channels that we primarily depend on, or failure to expand into emerging channels;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CTV develops in ways that prevent advertisements from being delivered to consumers;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competitive nature of the market in which we participate;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seasonal fluctuations in advertising activity;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 growth and training of our sales and support teams;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relating to our employees or our location in Israel;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relating to legal or regulatory issues;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associated with our financial profile, our ADSs and the Offering;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statements described in this prospectus under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Business</w:t>
      </w:r>
      <w:r>
        <w:rPr>
          <w:rFonts w:ascii="Arial" w:cs="Arial" w:eastAsia="Arial" w:hAnsi="Arial"/>
          <w:sz w:val="18"/>
          <w:szCs w:val="18"/>
          <w:color w:val="auto"/>
        </w:rPr>
        <w:t>.”</w:t>
      </w:r>
    </w:p>
    <w:p>
      <w:pPr>
        <w:spacing w:after="0" w:line="170"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w:t>
      </w:r>
      <w:r>
        <w:rPr>
          <w:rFonts w:ascii="Arial" w:cs="Arial" w:eastAsia="Arial" w:hAnsi="Arial"/>
          <w:sz w:val="17"/>
          <w:szCs w:val="17"/>
          <w:i w:val="1"/>
          <w:iCs w:val="1"/>
          <w:color w:val="auto"/>
        </w:rPr>
        <w:t>Risk Factors</w:t>
      </w:r>
      <w:r>
        <w:rPr>
          <w:rFonts w:ascii="Arial" w:cs="Arial" w:eastAsia="Arial" w:hAnsi="Arial"/>
          <w:sz w:val="17"/>
          <w:szCs w:val="17"/>
          <w:color w:val="auto"/>
        </w:rPr>
        <w: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7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inherently uncertain and investors are cautioned not to unduly rely upon these statements.</w:t>
      </w:r>
    </w:p>
    <w:p>
      <w:pPr>
        <w:spacing w:after="0" w:line="22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7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620" w:type="dxa"/>
            <w:vAlign w:val="bottom"/>
          </w:tcPr>
          <w:p>
            <w:pPr>
              <w:ind w:left="3420"/>
              <w:spacing w:after="0"/>
              <w:rPr>
                <w:sz w:val="20"/>
                <w:szCs w:val="20"/>
                <w:color w:val="auto"/>
              </w:rPr>
            </w:pPr>
            <w:r>
              <w:rPr>
                <w:rFonts w:ascii="Arial" w:cs="Arial" w:eastAsia="Arial" w:hAnsi="Arial"/>
                <w:sz w:val="18"/>
                <w:szCs w:val="18"/>
                <w:b w:val="1"/>
                <w:bCs w:val="1"/>
                <w:color w:val="auto"/>
              </w:rPr>
              <w:t>USE OF PROCEEDS</w:t>
            </w:r>
          </w:p>
        </w:tc>
        <w:tc>
          <w:tcPr>
            <w:tcW w:w="27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2"/>
        </w:trPr>
        <w:tc>
          <w:tcPr>
            <w:tcW w:w="6980" w:type="dxa"/>
            <w:vAlign w:val="bottom"/>
            <w:gridSpan w:val="2"/>
          </w:tcPr>
          <w:p>
            <w:pPr>
              <w:ind w:left="560"/>
              <w:spacing w:after="0"/>
              <w:rPr>
                <w:sz w:val="20"/>
                <w:szCs w:val="20"/>
                <w:color w:val="auto"/>
              </w:rPr>
            </w:pPr>
            <w:r>
              <w:rPr>
                <w:rFonts w:ascii="Arial" w:cs="Arial" w:eastAsia="Arial" w:hAnsi="Arial"/>
                <w:sz w:val="18"/>
                <w:szCs w:val="18"/>
                <w:color w:val="auto"/>
                <w:w w:val="99"/>
              </w:rPr>
              <w:t>We estimate that the net proceeds to us from this offering will be approximately $</w:t>
            </w:r>
          </w:p>
        </w:tc>
        <w:tc>
          <w:tcPr>
            <w:tcW w:w="2760" w:type="dxa"/>
            <w:vAlign w:val="bottom"/>
          </w:tcPr>
          <w:p>
            <w:pPr>
              <w:ind w:left="300"/>
              <w:spacing w:after="0"/>
              <w:rPr>
                <w:sz w:val="20"/>
                <w:szCs w:val="20"/>
                <w:color w:val="auto"/>
              </w:rPr>
            </w:pPr>
            <w:r>
              <w:rPr>
                <w:rFonts w:ascii="Arial" w:cs="Arial" w:eastAsia="Arial" w:hAnsi="Arial"/>
                <w:sz w:val="18"/>
                <w:szCs w:val="18"/>
                <w:color w:val="auto"/>
              </w:rPr>
              <w:t>million (or approximately $</w:t>
            </w:r>
          </w:p>
        </w:tc>
        <w:tc>
          <w:tcPr>
            <w:tcW w:w="1380" w:type="dxa"/>
            <w:vAlign w:val="bottom"/>
          </w:tcPr>
          <w:p>
            <w:pPr>
              <w:ind w:left="420"/>
              <w:spacing w:after="0"/>
              <w:rPr>
                <w:sz w:val="20"/>
                <w:szCs w:val="20"/>
                <w:color w:val="auto"/>
              </w:rPr>
            </w:pPr>
            <w:r>
              <w:rPr>
                <w:rFonts w:ascii="Arial" w:cs="Arial" w:eastAsia="Arial" w:hAnsi="Arial"/>
                <w:sz w:val="18"/>
                <w:szCs w:val="18"/>
                <w:color w:val="auto"/>
                <w:w w:val="98"/>
              </w:rPr>
              <w:t>million if the</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underwriters exercise their option to purchase additional ADSs from us in full), after deducting underwriting discounts and commissions and estimated</w:t>
      </w:r>
    </w:p>
    <w:p>
      <w:pPr>
        <w:spacing w:after="0" w:line="38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offering expenses, based on an assumed initial public offering price of $ per ADS, the U.S. dollar equivalent of the closing price of our ordinary shares on AIM of £ on , 2021 (based on an assumed exchange rate of £1.00 to $1. ).</w:t>
      </w:r>
    </w:p>
    <w:p>
      <w:pPr>
        <w:spacing w:after="0" w:line="170"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ADS would increase (decrease) the net proceeds to us from this offering by approximately $ million, assuming the number of ADSs offered by us, as set forth on the cover page of this prospectus, remains</w:t>
      </w:r>
    </w:p>
    <w:p>
      <w:pPr>
        <w:ind w:left="120"/>
        <w:spacing w:after="0"/>
        <w:rPr>
          <w:sz w:val="20"/>
          <w:szCs w:val="20"/>
          <w:color w:val="auto"/>
        </w:rPr>
      </w:pPr>
      <w:r>
        <w:rPr>
          <w:rFonts w:ascii="Arial" w:cs="Arial" w:eastAsia="Arial" w:hAnsi="Arial"/>
          <w:sz w:val="18"/>
          <w:szCs w:val="18"/>
          <w:color w:val="auto"/>
        </w:rPr>
        <w:t>the same and after deducting underwriting discounts and commissions and estimated offering expenses.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increase (decrease) of 1,000,000 ADSs in the number of ADSs offered by us would increase (decrease) the net proceeds to us from this</w:t>
      </w:r>
    </w:p>
    <w:p>
      <w:pPr>
        <w:spacing w:after="0" w:line="4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offering by approximately $ million, assuming that the assumed initial public offering price remains the same, and after deducting the underwriting discounts and commissions and estimated offering expenses. Expenses of this offering will be paid by us.</w:t>
      </w:r>
    </w:p>
    <w:p>
      <w:pPr>
        <w:spacing w:after="0" w:line="18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principal purposes of this offering are to create a public market for our ADSs, facilitate greater access to the public equity markets, increase our visibility in the marketplace, as well as to obtain additional capital. We intend to use the net proceeds from this offering for working capital, general corporate purposes and to fund incremental growth, including for possible acquisitions. However, we do not currently have any definitive or preliminary plans with respect to the use of proceeds for such purposes.</w:t>
      </w:r>
    </w:p>
    <w:p>
      <w:pPr>
        <w:spacing w:after="0" w:line="187"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We will have broad discretion in the way that we use the net proceeds from this offering. Our use of the net proceeds from this offering will depend on a number of factors, including our future revenue and cash generated by operations and the other factors described in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46"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Although we have paid dividends and conducted share buybacks in the past, we do not anticipate paying any dividends in the foreseeable future. We currently intend to retain future earnings, if any, to finance operations and expand our business.</w:t>
      </w:r>
    </w:p>
    <w:p>
      <w:pPr>
        <w:spacing w:after="0" w:line="15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Companies Law imposes restrictions on our ability to declare and pay dividends. See “</w:t>
      </w:r>
      <w:r>
        <w:rPr>
          <w:rFonts w:ascii="Arial" w:cs="Arial" w:eastAsia="Arial" w:hAnsi="Arial"/>
          <w:sz w:val="18"/>
          <w:szCs w:val="18"/>
          <w:i w:val="1"/>
          <w:iCs w:val="1"/>
          <w:color w:val="auto"/>
        </w:rPr>
        <w:t>Description of Share Capital and Articles of</w:t>
      </w:r>
      <w:r>
        <w:rPr>
          <w:rFonts w:ascii="Arial" w:cs="Arial" w:eastAsia="Arial" w:hAnsi="Arial"/>
          <w:sz w:val="18"/>
          <w:szCs w:val="18"/>
          <w:color w:val="auto"/>
        </w:rPr>
        <w:t xml:space="preserve"> </w:t>
      </w:r>
      <w:r>
        <w:rPr>
          <w:rFonts w:ascii="Arial" w:cs="Arial" w:eastAsia="Arial" w:hAnsi="Arial"/>
          <w:sz w:val="18"/>
          <w:szCs w:val="18"/>
          <w:i w:val="1"/>
          <w:iCs w:val="1"/>
          <w:color w:val="auto"/>
        </w:rPr>
        <w:t>Association—Dividend and Liquidation Rights</w:t>
      </w:r>
      <w:r>
        <w:rPr>
          <w:rFonts w:ascii="Arial" w:cs="Arial" w:eastAsia="Arial" w:hAnsi="Arial"/>
          <w:sz w:val="18"/>
          <w:szCs w:val="18"/>
          <w:color w:val="auto"/>
        </w:rPr>
        <w:t>” for additional information. See also “</w:t>
      </w:r>
      <w:r>
        <w:rPr>
          <w:rFonts w:ascii="Arial" w:cs="Arial" w:eastAsia="Arial" w:hAnsi="Arial"/>
          <w:sz w:val="18"/>
          <w:szCs w:val="18"/>
          <w:i w:val="1"/>
          <w:iCs w:val="1"/>
          <w:color w:val="auto"/>
        </w:rPr>
        <w:t>Risk Factors—Risks Related to Our ADSs and the Offering— Because we may not pay any cash dividends on our ADSs in the future, capital appreciation, if any, may be your sole source of gains and you may never receive a return on your investment</w:t>
      </w:r>
      <w:r>
        <w:rPr>
          <w:rFonts w:ascii="Arial" w:cs="Arial" w:eastAsia="Arial" w:hAnsi="Arial"/>
          <w:sz w:val="18"/>
          <w:szCs w:val="18"/>
          <w:color w:val="auto"/>
        </w:rPr>
        <w:t>.”</w:t>
      </w:r>
    </w:p>
    <w:p>
      <w:pPr>
        <w:spacing w:after="0" w:line="18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Payment of dividends may be subject to Israeli withholding taxes. See “</w:t>
      </w:r>
      <w:r>
        <w:rPr>
          <w:rFonts w:ascii="Arial" w:cs="Arial" w:eastAsia="Arial" w:hAnsi="Arial"/>
          <w:sz w:val="18"/>
          <w:szCs w:val="18"/>
          <w:i w:val="1"/>
          <w:iCs w:val="1"/>
          <w:color w:val="auto"/>
        </w:rPr>
        <w:t>Taxation and Government Programs—Israeli Tax Considerations</w:t>
      </w:r>
      <w:r>
        <w:rPr>
          <w:rFonts w:ascii="Arial" w:cs="Arial" w:eastAsia="Arial" w:hAnsi="Arial"/>
          <w:sz w:val="18"/>
          <w:szCs w:val="18"/>
          <w:color w:val="auto"/>
        </w:rPr>
        <w:t>” for additional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our cash and cash equivalents and total capitalization as of December 31, 2020, as follows:</w:t>
      </w:r>
    </w:p>
    <w:p>
      <w:pPr>
        <w:spacing w:after="0" w:line="154"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 and</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an as adjusted basis to reflect the issuance and sale of ADSs in this offering at the assumed initial public offering price of $ per ADS, the U.S. dollar equivalent of the closing price of our ordinary shares on AIM of £ on , 2021 (based on an assumed exchange rate of £1.00 to $1. ), after deducting underwriting discounts and commissions and estimated offering expenses.</w:t>
      </w:r>
    </w:p>
    <w:p>
      <w:pPr>
        <w:spacing w:after="0" w:line="184" w:lineRule="exact"/>
        <w:rPr>
          <w:sz w:val="20"/>
          <w:szCs w:val="20"/>
          <w:color w:val="auto"/>
        </w:rPr>
      </w:pPr>
    </w:p>
    <w:p>
      <w:pPr>
        <w:sectPr>
          <w:pgSz w:w="11900" w:h="16838" w:orient="portrait"/>
          <w:cols w:equalWidth="0" w:num="2">
            <w:col w:w="620" w:space="460"/>
            <w:col w:w="10060"/>
          </w:cols>
          <w:pgMar w:left="320" w:top="459" w:right="439" w:bottom="1440" w:gutter="0" w:footer="0" w:header="0"/>
          <w:type w:val="continuous"/>
        </w:sectPr>
      </w:pPr>
    </w:p>
    <w:p>
      <w:pPr>
        <w:jc w:val="both"/>
        <w:ind w:left="120" w:right="20" w:firstLine="440"/>
        <w:spacing w:after="0" w:line="263" w:lineRule="auto"/>
        <w:rPr>
          <w:sz w:val="20"/>
          <w:szCs w:val="20"/>
          <w:color w:val="auto"/>
        </w:rPr>
      </w:pPr>
      <w:r>
        <w:rPr>
          <w:rFonts w:ascii="Arial" w:cs="Arial" w:eastAsia="Arial" w:hAnsi="Arial"/>
          <w:sz w:val="18"/>
          <w:szCs w:val="18"/>
          <w:color w:val="auto"/>
        </w:rPr>
        <w:t>You should read this information in conjunction with our consolidated financial statements and the related notes appearing at the end of this prospectus and the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section and other financial information contained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0"/>
              </w:rPr>
              <w:t>As of December 31, 2020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w w:val="96"/>
              </w:rPr>
              <w:t>As</w:t>
            </w: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tcBorders>
              <w:top w:val="single" w:sz="8" w:color="auto"/>
            </w:tcBorders>
            <w:gridSpan w:val="5"/>
          </w:tcPr>
          <w:p>
            <w:pPr>
              <w:jc w:val="center"/>
              <w:ind w:right="9"/>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and per share amounts)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1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$ 97,463</w:t>
            </w:r>
          </w:p>
        </w:tc>
        <w:tc>
          <w:tcPr>
            <w:tcW w:w="1160" w:type="dxa"/>
            <w:vAlign w:val="bottom"/>
            <w:tcBorders>
              <w:right w:val="single" w:sz="8" w:color="CCEEFF"/>
            </w:tcBorders>
            <w:gridSpan w:val="2"/>
            <w:shd w:val="clear" w:color="auto" w:fill="CCEEFF"/>
          </w:tcPr>
          <w:p>
            <w:pPr>
              <w:jc w:val="right"/>
              <w:ind w:right="76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2"/>
            <w:vMerge w:val="restart"/>
          </w:tcPr>
          <w:p>
            <w:pPr>
              <w:spacing w:after="0"/>
              <w:rPr>
                <w:sz w:val="20"/>
                <w:szCs w:val="20"/>
                <w:color w:val="auto"/>
              </w:rPr>
            </w:pPr>
            <w:r>
              <w:rPr>
                <w:rFonts w:ascii="Arial" w:cs="Arial" w:eastAsia="Arial" w:hAnsi="Arial"/>
                <w:sz w:val="18"/>
                <w:szCs w:val="18"/>
                <w:color w:val="auto"/>
                <w:w w:val="97"/>
              </w:rPr>
              <w:t>Debt and lease liabilities, including current portion:</w:t>
            </w: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1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21,209</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1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29,033</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Shareholders’ equity:</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1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Share premium</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auto"/>
              </w:rPr>
              <w:t>264,831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60,472</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329,013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capitalization</w:t>
            </w: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358,046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200" w:type="dxa"/>
            <w:vAlign w:val="bottom"/>
            <w:gridSpan w:val="4"/>
          </w:tcPr>
          <w:p>
            <w:pPr>
              <w:spacing w:after="0"/>
              <w:rPr>
                <w:sz w:val="11"/>
                <w:szCs w:val="11"/>
                <w:color w:val="auto"/>
              </w:rPr>
            </w:pPr>
          </w:p>
        </w:tc>
        <w:tc>
          <w:tcPr>
            <w:tcW w:w="458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420" w:type="dxa"/>
            <w:vAlign w:val="bottom"/>
            <w:gridSpan w:val="5"/>
          </w:tcPr>
          <w:p>
            <w:pPr>
              <w:spacing w:after="0"/>
              <w:rPr>
                <w:sz w:val="20"/>
                <w:szCs w:val="20"/>
                <w:color w:val="auto"/>
              </w:rPr>
            </w:pPr>
            <w:r>
              <w:rPr>
                <w:rFonts w:ascii="Arial" w:cs="Arial" w:eastAsia="Arial" w:hAnsi="Arial"/>
                <w:sz w:val="18"/>
                <w:szCs w:val="18"/>
                <w:color w:val="auto"/>
              </w:rPr>
              <w:t>(1)   A $1.00 increase (decrease) in the assumed initial public offering price of $</w:t>
            </w:r>
          </w:p>
        </w:tc>
        <w:tc>
          <w:tcPr>
            <w:tcW w:w="4580" w:type="dxa"/>
            <w:vAlign w:val="bottom"/>
            <w:gridSpan w:val="9"/>
          </w:tcPr>
          <w:p>
            <w:pPr>
              <w:jc w:val="right"/>
              <w:spacing w:after="0"/>
              <w:rPr>
                <w:sz w:val="20"/>
                <w:szCs w:val="20"/>
                <w:color w:val="auto"/>
              </w:rPr>
            </w:pPr>
            <w:r>
              <w:rPr>
                <w:rFonts w:ascii="Arial" w:cs="Arial" w:eastAsia="Arial" w:hAnsi="Arial"/>
                <w:sz w:val="18"/>
                <w:szCs w:val="18"/>
                <w:color w:val="auto"/>
              </w:rPr>
              <w:t>per ADS, which reflects the U.S. dollar equivalent of the</w:t>
            </w:r>
          </w:p>
        </w:tc>
        <w:tc>
          <w:tcPr>
            <w:tcW w:w="0" w:type="dxa"/>
            <w:vAlign w:val="bottom"/>
          </w:tcPr>
          <w:p>
            <w:pPr>
              <w:spacing w:after="0"/>
              <w:rPr>
                <w:sz w:val="1"/>
                <w:szCs w:val="1"/>
                <w:color w:val="auto"/>
              </w:rPr>
            </w:pPr>
          </w:p>
        </w:tc>
      </w:tr>
      <w:tr>
        <w:trPr>
          <w:trHeight w:val="230"/>
        </w:trPr>
        <w:tc>
          <w:tcPr>
            <w:tcW w:w="4340" w:type="dxa"/>
            <w:vAlign w:val="bottom"/>
            <w:gridSpan w:val="3"/>
          </w:tcPr>
          <w:p>
            <w:pPr>
              <w:ind w:left="420"/>
              <w:spacing w:after="0"/>
              <w:rPr>
                <w:sz w:val="20"/>
                <w:szCs w:val="20"/>
                <w:color w:val="auto"/>
              </w:rPr>
            </w:pPr>
            <w:r>
              <w:rPr>
                <w:rFonts w:ascii="Arial" w:cs="Arial" w:eastAsia="Arial" w:hAnsi="Arial"/>
                <w:sz w:val="18"/>
                <w:szCs w:val="18"/>
                <w:color w:val="auto"/>
              </w:rPr>
              <w:t>closing price of our ordinary shares on AIM of £</w:t>
            </w:r>
          </w:p>
        </w:tc>
        <w:tc>
          <w:tcPr>
            <w:tcW w:w="920" w:type="dxa"/>
            <w:vAlign w:val="bottom"/>
          </w:tcPr>
          <w:p>
            <w:pPr>
              <w:ind w:left="340"/>
              <w:spacing w:after="0"/>
              <w:rPr>
                <w:sz w:val="20"/>
                <w:szCs w:val="20"/>
                <w:color w:val="auto"/>
              </w:rPr>
            </w:pPr>
            <w:r>
              <w:rPr>
                <w:rFonts w:ascii="Arial" w:cs="Arial" w:eastAsia="Arial" w:hAnsi="Arial"/>
                <w:sz w:val="18"/>
                <w:szCs w:val="18"/>
                <w:color w:val="auto"/>
              </w:rPr>
              <w:t>on</w:t>
            </w:r>
          </w:p>
        </w:tc>
        <w:tc>
          <w:tcPr>
            <w:tcW w:w="4820" w:type="dxa"/>
            <w:vAlign w:val="bottom"/>
            <w:gridSpan w:val="9"/>
          </w:tcPr>
          <w:p>
            <w:pPr>
              <w:ind w:left="220"/>
              <w:spacing w:after="0"/>
              <w:rPr>
                <w:sz w:val="20"/>
                <w:szCs w:val="20"/>
                <w:color w:val="auto"/>
              </w:rPr>
            </w:pPr>
            <w:r>
              <w:rPr>
                <w:rFonts w:ascii="Arial" w:cs="Arial" w:eastAsia="Arial" w:hAnsi="Arial"/>
                <w:sz w:val="18"/>
                <w:szCs w:val="18"/>
                <w:color w:val="auto"/>
                <w:w w:val="95"/>
              </w:rPr>
              <w:t>, 2021 (based on an assumed exchange rate of £1.00 to $1.</w:t>
            </w:r>
          </w:p>
        </w:tc>
        <w:tc>
          <w:tcPr>
            <w:tcW w:w="920" w:type="dxa"/>
            <w:vAlign w:val="bottom"/>
          </w:tcPr>
          <w:p>
            <w:pPr>
              <w:jc w:val="right"/>
              <w:spacing w:after="0"/>
              <w:rPr>
                <w:sz w:val="20"/>
                <w:szCs w:val="20"/>
                <w:color w:val="auto"/>
              </w:rPr>
            </w:pPr>
            <w:r>
              <w:rPr>
                <w:rFonts w:ascii="Arial" w:cs="Arial" w:eastAsia="Arial" w:hAnsi="Arial"/>
                <w:sz w:val="18"/>
                <w:szCs w:val="18"/>
                <w:color w:val="auto"/>
              </w:rPr>
              <w:t>), would</w:t>
            </w:r>
          </w:p>
        </w:tc>
        <w:tc>
          <w:tcPr>
            <w:tcW w:w="0" w:type="dxa"/>
            <w:vAlign w:val="bottom"/>
          </w:tcPr>
          <w:p>
            <w:pPr>
              <w:spacing w:after="0"/>
              <w:rPr>
                <w:sz w:val="1"/>
                <w:szCs w:val="1"/>
                <w:color w:val="auto"/>
              </w:rPr>
            </w:pPr>
          </w:p>
        </w:tc>
      </w:tr>
    </w:tbl>
    <w:p>
      <w:pPr>
        <w:ind w:left="540"/>
        <w:spacing w:after="0"/>
        <w:rPr>
          <w:sz w:val="20"/>
          <w:szCs w:val="20"/>
          <w:color w:val="auto"/>
        </w:rPr>
      </w:pPr>
      <w:r>
        <w:rPr>
          <w:rFonts w:ascii="Arial" w:cs="Arial" w:eastAsia="Arial" w:hAnsi="Arial"/>
          <w:sz w:val="16"/>
          <w:szCs w:val="16"/>
          <w:color w:val="auto"/>
        </w:rPr>
        <w:t>increase (decrease) the as adjusted amount of each of cash and cash equivalents, additional paid-in capital, total shareholders’ equity and total</w:t>
      </w:r>
    </w:p>
    <w:p>
      <w:pPr>
        <w:spacing w:after="0" w:line="32" w:lineRule="exact"/>
        <w:rPr>
          <w:sz w:val="20"/>
          <w:szCs w:val="20"/>
          <w:color w:val="auto"/>
        </w:rPr>
      </w:pPr>
    </w:p>
    <w:p>
      <w:pPr>
        <w:jc w:val="both"/>
        <w:ind w:left="540"/>
        <w:spacing w:after="0" w:line="281" w:lineRule="auto"/>
        <w:rPr>
          <w:sz w:val="20"/>
          <w:szCs w:val="20"/>
          <w:color w:val="auto"/>
        </w:rPr>
      </w:pPr>
      <w:r>
        <w:rPr>
          <w:rFonts w:ascii="Arial" w:cs="Arial" w:eastAsia="Arial" w:hAnsi="Arial"/>
          <w:sz w:val="16"/>
          <w:szCs w:val="16"/>
          <w:color w:val="auto"/>
        </w:rPr>
        <w:t>capitalization by approximately $ million, assuming the number of ADSs offered by us, as set forth on the cover page of this prospectus, remains the same and after deducting underwriting discounts and commissions and estimated offering expenses. An increase (decrease) of 1,000,000 ADSs in the number of ADSs offered by us, as set forth on the cover page of this prospectus, would increase (decrease) the as adjusted amount of each of cash and cash equivalents, additional paid-in capital, total shareholders’ equity and total capitalization by approximately</w:t>
      </w:r>
    </w:p>
    <w:p>
      <w:pPr>
        <w:spacing w:after="0" w:line="2" w:lineRule="exact"/>
        <w:rPr>
          <w:sz w:val="20"/>
          <w:szCs w:val="20"/>
          <w:color w:val="auto"/>
        </w:rPr>
      </w:pPr>
    </w:p>
    <w:p>
      <w:pPr>
        <w:ind w:left="1240" w:hanging="692"/>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million, assuming an initial public offering price of $</w:t>
      </w:r>
      <w:r>
        <w:rPr>
          <w:rFonts w:ascii="Arial" w:cs="Arial" w:eastAsia="Arial" w:hAnsi="Arial"/>
          <w:sz w:val="16"/>
          <w:szCs w:val="16"/>
          <w:color w:val="auto"/>
        </w:rPr>
        <w:t>per ADS, , which reflects the U.S. dollar equivalent of the closing price of</w:t>
      </w:r>
    </w:p>
    <w:p>
      <w:pPr>
        <w:spacing w:after="0" w:line="9" w:lineRule="exact"/>
        <w:rPr>
          <w:sz w:val="20"/>
          <w:szCs w:val="20"/>
          <w:color w:val="auto"/>
        </w:rPr>
      </w:pPr>
    </w:p>
    <w:p>
      <w:pPr>
        <w:ind w:left="540" w:right="20"/>
        <w:spacing w:after="0" w:line="260" w:lineRule="auto"/>
        <w:rPr>
          <w:sz w:val="20"/>
          <w:szCs w:val="20"/>
          <w:color w:val="auto"/>
        </w:rPr>
      </w:pPr>
      <w:r>
        <w:rPr>
          <w:rFonts w:ascii="Arial" w:cs="Arial" w:eastAsia="Arial" w:hAnsi="Arial"/>
          <w:sz w:val="18"/>
          <w:szCs w:val="18"/>
          <w:color w:val="auto"/>
        </w:rPr>
        <w:t>our ordinary shares on AIM of £ on , 2021 (based on an assumed exchange rate of £1.00 to $1. ), and after deducting underwriting discounts and commissions and estimated offering expenses.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you invest in our ADSs, your interest will be diluted to the extent of the difference between the initial public offering price per ADS and the as adjusted net tangible book value per share immediately following the consummation of this offering.</w:t>
      </w:r>
    </w:p>
    <w:p>
      <w:pPr>
        <w:spacing w:after="0" w:line="170"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At December 31, 2020, we had a historical net tangible book value of $ million, corresponding to a net tangible book value of $ per ordinary share or $ per ADS based on an ordinary share to ADS ratio of . Net tangible book value per share represents the amount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total assets less our total liabilities, excluding goodwill and other intangible assets, divided by the total number of our ordinary shares outstanding.</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After giving effect to the sale by us of</w:t>
            </w:r>
          </w:p>
        </w:tc>
        <w:tc>
          <w:tcPr>
            <w:tcW w:w="720" w:type="dxa"/>
            <w:vAlign w:val="bottom"/>
          </w:tcPr>
          <w:p>
            <w:pPr>
              <w:spacing w:after="0"/>
              <w:rPr>
                <w:sz w:val="18"/>
                <w:szCs w:val="18"/>
                <w:color w:val="auto"/>
              </w:rPr>
            </w:pPr>
          </w:p>
        </w:tc>
        <w:tc>
          <w:tcPr>
            <w:tcW w:w="3500" w:type="dxa"/>
            <w:vAlign w:val="bottom"/>
            <w:gridSpan w:val="2"/>
          </w:tcPr>
          <w:p>
            <w:pPr>
              <w:ind w:left="300"/>
              <w:spacing w:after="0"/>
              <w:rPr>
                <w:sz w:val="20"/>
                <w:szCs w:val="20"/>
                <w:color w:val="auto"/>
              </w:rPr>
            </w:pPr>
            <w:r>
              <w:rPr>
                <w:rFonts w:ascii="Arial" w:cs="Arial" w:eastAsia="Arial" w:hAnsi="Arial"/>
                <w:sz w:val="18"/>
                <w:szCs w:val="18"/>
                <w:color w:val="auto"/>
              </w:rPr>
              <w:t>ADSs (representing an aggregate of</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ordinary shares) in this offering at the</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assumed initial public offering price of $</w:t>
            </w:r>
          </w:p>
        </w:tc>
        <w:tc>
          <w:tcPr>
            <w:tcW w:w="7560" w:type="dxa"/>
            <w:vAlign w:val="bottom"/>
            <w:gridSpan w:val="6"/>
          </w:tcPr>
          <w:p>
            <w:pPr>
              <w:jc w:val="right"/>
              <w:spacing w:after="0"/>
              <w:rPr>
                <w:sz w:val="20"/>
                <w:szCs w:val="20"/>
                <w:color w:val="auto"/>
              </w:rPr>
            </w:pPr>
            <w:r>
              <w:rPr>
                <w:rFonts w:ascii="Arial" w:cs="Arial" w:eastAsia="Arial" w:hAnsi="Arial"/>
                <w:sz w:val="18"/>
                <w:szCs w:val="18"/>
                <w:color w:val="auto"/>
                <w:w w:val="95"/>
              </w:rPr>
              <w:t>per ADS, which reflects the U.S. dollar equivalent of the closing price of our ordinary shares on AIM</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of £</w:t>
            </w:r>
          </w:p>
        </w:tc>
        <w:tc>
          <w:tcPr>
            <w:tcW w:w="1400" w:type="dxa"/>
            <w:vAlign w:val="bottom"/>
          </w:tcPr>
          <w:p>
            <w:pPr>
              <w:ind w:left="560"/>
              <w:spacing w:after="0"/>
              <w:rPr>
                <w:sz w:val="20"/>
                <w:szCs w:val="20"/>
                <w:color w:val="auto"/>
              </w:rPr>
            </w:pPr>
            <w:r>
              <w:rPr>
                <w:rFonts w:ascii="Arial" w:cs="Arial" w:eastAsia="Arial" w:hAnsi="Arial"/>
                <w:sz w:val="18"/>
                <w:szCs w:val="18"/>
                <w:color w:val="auto"/>
              </w:rPr>
              <w:t>on</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w w:val="94"/>
              </w:rPr>
              <w:t>, 2021 (based on an assumed exchange rate of £1.00 to $1.</w:t>
            </w:r>
          </w:p>
        </w:tc>
        <w:tc>
          <w:tcPr>
            <w:tcW w:w="4560" w:type="dxa"/>
            <w:vAlign w:val="bottom"/>
            <w:gridSpan w:val="4"/>
          </w:tcPr>
          <w:p>
            <w:pPr>
              <w:jc w:val="right"/>
              <w:spacing w:after="0"/>
              <w:rPr>
                <w:sz w:val="20"/>
                <w:szCs w:val="20"/>
                <w:color w:val="auto"/>
              </w:rPr>
            </w:pPr>
            <w:r>
              <w:rPr>
                <w:rFonts w:ascii="Arial" w:cs="Arial" w:eastAsia="Arial" w:hAnsi="Arial"/>
                <w:sz w:val="18"/>
                <w:szCs w:val="18"/>
                <w:color w:val="auto"/>
                <w:w w:val="97"/>
              </w:rPr>
              <w:t>), after deducting the estimated underwriting discounts and</w:t>
            </w:r>
          </w:p>
        </w:tc>
      </w:tr>
      <w:tr>
        <w:trPr>
          <w:trHeight w:val="216"/>
        </w:trPr>
        <w:tc>
          <w:tcPr>
            <w:tcW w:w="10600" w:type="dxa"/>
            <w:vAlign w:val="bottom"/>
            <w:gridSpan w:val="8"/>
          </w:tcPr>
          <w:p>
            <w:pPr>
              <w:spacing w:after="0"/>
              <w:rPr>
                <w:sz w:val="20"/>
                <w:szCs w:val="20"/>
                <w:color w:val="auto"/>
              </w:rPr>
            </w:pPr>
            <w:r>
              <w:rPr>
                <w:rFonts w:ascii="Arial" w:cs="Arial" w:eastAsia="Arial" w:hAnsi="Arial"/>
                <w:sz w:val="18"/>
                <w:szCs w:val="18"/>
                <w:color w:val="auto"/>
                <w:w w:val="92"/>
              </w:rPr>
              <w:t>commissions and estimated offering expenses, our as adjusted net tangible book value at December 31, 2020 would have been approximately $</w:t>
            </w:r>
          </w:p>
        </w:tc>
        <w:tc>
          <w:tcPr>
            <w:tcW w:w="400" w:type="dxa"/>
            <w:vAlign w:val="bottom"/>
          </w:tcPr>
          <w:p>
            <w:pPr>
              <w:spacing w:after="0"/>
              <w:rPr>
                <w:sz w:val="18"/>
                <w:szCs w:val="18"/>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w w:val="98"/>
              </w:rPr>
              <w:t>million, representing $</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per ordinary share or $</w:t>
            </w:r>
          </w:p>
        </w:tc>
        <w:tc>
          <w:tcPr>
            <w:tcW w:w="6440" w:type="dxa"/>
            <w:vAlign w:val="bottom"/>
            <w:gridSpan w:val="4"/>
          </w:tcPr>
          <w:p>
            <w:pPr>
              <w:ind w:left="300"/>
              <w:spacing w:after="0"/>
              <w:rPr>
                <w:sz w:val="20"/>
                <w:szCs w:val="20"/>
                <w:color w:val="auto"/>
              </w:rPr>
            </w:pPr>
            <w:r>
              <w:rPr>
                <w:rFonts w:ascii="Arial" w:cs="Arial" w:eastAsia="Arial" w:hAnsi="Arial"/>
                <w:sz w:val="18"/>
                <w:szCs w:val="18"/>
                <w:color w:val="auto"/>
                <w:w w:val="96"/>
              </w:rPr>
              <w:t>per ADS. This represents an immediate increase in net tangible book value of $</w:t>
            </w:r>
          </w:p>
        </w:tc>
        <w:tc>
          <w:tcPr>
            <w:tcW w:w="400" w:type="dxa"/>
            <w:vAlign w:val="bottom"/>
          </w:tcPr>
          <w:p>
            <w:pPr>
              <w:jc w:val="right"/>
              <w:spacing w:after="0"/>
              <w:rPr>
                <w:sz w:val="20"/>
                <w:szCs w:val="20"/>
                <w:color w:val="auto"/>
              </w:rPr>
            </w:pPr>
            <w:r>
              <w:rPr>
                <w:rFonts w:ascii="Arial" w:cs="Arial" w:eastAsia="Arial" w:hAnsi="Arial"/>
                <w:sz w:val="18"/>
                <w:szCs w:val="18"/>
                <w:color w:val="auto"/>
              </w:rPr>
              <w:t>per</w:t>
            </w: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ordinary share or $</w:t>
            </w:r>
          </w:p>
        </w:tc>
        <w:tc>
          <w:tcPr>
            <w:tcW w:w="7360" w:type="dxa"/>
            <w:vAlign w:val="bottom"/>
            <w:gridSpan w:val="5"/>
          </w:tcPr>
          <w:p>
            <w:pPr>
              <w:ind w:left="320"/>
              <w:spacing w:after="0"/>
              <w:rPr>
                <w:sz w:val="20"/>
                <w:szCs w:val="20"/>
                <w:color w:val="auto"/>
              </w:rPr>
            </w:pPr>
            <w:r>
              <w:rPr>
                <w:rFonts w:ascii="Arial" w:cs="Arial" w:eastAsia="Arial" w:hAnsi="Arial"/>
                <w:sz w:val="18"/>
                <w:szCs w:val="18"/>
                <w:color w:val="auto"/>
                <w:w w:val="97"/>
              </w:rPr>
              <w:t>per ADS to existing shareholders and an immediate dilution in net tangible book value of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per ordinary share or</w:t>
            </w:r>
          </w:p>
        </w:tc>
      </w:tr>
    </w:tbl>
    <w:p>
      <w:pPr>
        <w:jc w:val="both"/>
        <w:ind w:left="120" w:right="20" w:hanging="4"/>
        <w:spacing w:after="0" w:line="255" w:lineRule="auto"/>
        <w:tabs>
          <w:tab w:leader="none" w:pos="8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ADS to new investors purchasing ADSs in this offering at the assumed initial public offering price. Dilution in net tangible book value per ADS to new investors is determined by subtracting as adjusted net tangible book value per ADS after this offering from the assumed initial public offering price per ADS paid by new investors.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this dilution to new investors purchasing ADSs in the offering.</w:t>
      </w:r>
    </w:p>
    <w:p>
      <w:pPr>
        <w:spacing w:after="0" w:line="2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ADS</w:t>
            </w:r>
          </w:p>
        </w:tc>
        <w:tc>
          <w:tcPr>
            <w:tcW w:w="236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ADS as of December 31, 2020</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Increase in net tangible book value per ADS attributable to this offering</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As adjusted net tangible book value per ADS after this offering</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Dilution per ADS to new investors in this offering</w:t>
            </w:r>
          </w:p>
        </w:tc>
        <w:tc>
          <w:tcPr>
            <w:tcW w:w="236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0760" w:type="dxa"/>
            <w:vAlign w:val="bottom"/>
            <w:gridSpan w:val="8"/>
          </w:tcPr>
          <w:p>
            <w:pPr>
              <w:jc w:val="right"/>
              <w:spacing w:after="0"/>
              <w:rPr>
                <w:sz w:val="20"/>
                <w:szCs w:val="20"/>
                <w:color w:val="auto"/>
              </w:rPr>
            </w:pPr>
            <w:r>
              <w:rPr>
                <w:rFonts w:ascii="Arial" w:cs="Arial" w:eastAsia="Arial" w:hAnsi="Arial"/>
                <w:sz w:val="18"/>
                <w:szCs w:val="18"/>
                <w:color w:val="auto"/>
                <w:w w:val="95"/>
              </w:rPr>
              <w:t>If the underwriters exercise their option to purchase additional ADSs from us in full, our as adjusted net tangible book value per ADS after this</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w w:val="99"/>
              </w:rPr>
              <w:t>offering would be $</w:t>
            </w:r>
          </w:p>
        </w:tc>
        <w:tc>
          <w:tcPr>
            <w:tcW w:w="600" w:type="dxa"/>
            <w:vAlign w:val="bottom"/>
          </w:tcPr>
          <w:p>
            <w:pPr>
              <w:spacing w:after="0"/>
              <w:rPr>
                <w:sz w:val="18"/>
                <w:szCs w:val="18"/>
                <w:color w:val="auto"/>
              </w:rPr>
            </w:pPr>
          </w:p>
        </w:tc>
        <w:tc>
          <w:tcPr>
            <w:tcW w:w="7240" w:type="dxa"/>
            <w:vAlign w:val="bottom"/>
            <w:gridSpan w:val="5"/>
          </w:tcPr>
          <w:p>
            <w:pPr>
              <w:ind w:left="80"/>
              <w:spacing w:after="0"/>
              <w:rPr>
                <w:sz w:val="20"/>
                <w:szCs w:val="20"/>
                <w:color w:val="auto"/>
              </w:rPr>
            </w:pPr>
            <w:r>
              <w:rPr>
                <w:rFonts w:ascii="Arial" w:cs="Arial" w:eastAsia="Arial" w:hAnsi="Arial"/>
                <w:sz w:val="18"/>
                <w:szCs w:val="18"/>
                <w:color w:val="auto"/>
              </w:rPr>
              <w:t>per ADS, representing an immediate increase in as adjusted net tangible book value of $</w:t>
            </w:r>
          </w:p>
        </w:tc>
        <w:tc>
          <w:tcPr>
            <w:tcW w:w="1640" w:type="dxa"/>
            <w:vAlign w:val="bottom"/>
          </w:tcPr>
          <w:p>
            <w:pPr>
              <w:jc w:val="right"/>
              <w:spacing w:after="0"/>
              <w:rPr>
                <w:sz w:val="20"/>
                <w:szCs w:val="20"/>
                <w:color w:val="auto"/>
              </w:rPr>
            </w:pPr>
            <w:r>
              <w:rPr>
                <w:rFonts w:ascii="Arial" w:cs="Arial" w:eastAsia="Arial" w:hAnsi="Arial"/>
                <w:sz w:val="18"/>
                <w:szCs w:val="18"/>
                <w:color w:val="auto"/>
              </w:rPr>
              <w:t>per ADS to existing</w:t>
            </w: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shareholders and immediate dilution of $</w:t>
            </w:r>
          </w:p>
        </w:tc>
        <w:tc>
          <w:tcPr>
            <w:tcW w:w="7460" w:type="dxa"/>
            <w:vAlign w:val="bottom"/>
            <w:gridSpan w:val="5"/>
          </w:tcPr>
          <w:p>
            <w:pPr>
              <w:jc w:val="right"/>
              <w:spacing w:after="0"/>
              <w:rPr>
                <w:sz w:val="20"/>
                <w:szCs w:val="20"/>
                <w:color w:val="auto"/>
              </w:rPr>
            </w:pPr>
            <w:r>
              <w:rPr>
                <w:rFonts w:ascii="Arial" w:cs="Arial" w:eastAsia="Arial" w:hAnsi="Arial"/>
                <w:sz w:val="18"/>
                <w:szCs w:val="18"/>
                <w:color w:val="auto"/>
                <w:w w:val="91"/>
              </w:rPr>
              <w:t>per ADS in as adjusted net tangible book value per ADS to new investors based on an assumed initial</w:t>
            </w:r>
          </w:p>
        </w:tc>
      </w:tr>
      <w:tr>
        <w:trPr>
          <w:trHeight w:val="216"/>
        </w:trPr>
        <w:tc>
          <w:tcPr>
            <w:tcW w:w="2140" w:type="dxa"/>
            <w:vAlign w:val="bottom"/>
            <w:gridSpan w:val="3"/>
          </w:tcPr>
          <w:p>
            <w:pPr>
              <w:spacing w:after="0"/>
              <w:rPr>
                <w:sz w:val="20"/>
                <w:szCs w:val="20"/>
                <w:color w:val="auto"/>
              </w:rPr>
            </w:pPr>
            <w:r>
              <w:rPr>
                <w:rFonts w:ascii="Arial" w:cs="Arial" w:eastAsia="Arial" w:hAnsi="Arial"/>
                <w:sz w:val="18"/>
                <w:szCs w:val="18"/>
                <w:color w:val="auto"/>
              </w:rPr>
              <w:t>public offering price of $</w:t>
            </w:r>
          </w:p>
        </w:tc>
        <w:tc>
          <w:tcPr>
            <w:tcW w:w="8880" w:type="dxa"/>
            <w:vAlign w:val="bottom"/>
            <w:gridSpan w:val="6"/>
          </w:tcPr>
          <w:p>
            <w:pPr>
              <w:jc w:val="right"/>
              <w:spacing w:after="0"/>
              <w:rPr>
                <w:sz w:val="20"/>
                <w:szCs w:val="20"/>
                <w:color w:val="auto"/>
              </w:rPr>
            </w:pPr>
            <w:r>
              <w:rPr>
                <w:rFonts w:ascii="Arial" w:cs="Arial" w:eastAsia="Arial" w:hAnsi="Arial"/>
                <w:sz w:val="18"/>
                <w:szCs w:val="18"/>
                <w:color w:val="auto"/>
              </w:rPr>
              <w:t>per ADS, which reflects the U.S. dollar equivalent of the closing price of our ordinary shares on AIM of</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ind w:left="400"/>
              <w:spacing w:after="0"/>
              <w:rPr>
                <w:sz w:val="20"/>
                <w:szCs w:val="20"/>
                <w:color w:val="auto"/>
              </w:rPr>
            </w:pPr>
            <w:r>
              <w:rPr>
                <w:rFonts w:ascii="Arial" w:cs="Arial" w:eastAsia="Arial" w:hAnsi="Arial"/>
                <w:sz w:val="18"/>
                <w:szCs w:val="18"/>
                <w:color w:val="auto"/>
              </w:rPr>
              <w:t>on</w:t>
            </w:r>
          </w:p>
        </w:tc>
        <w:tc>
          <w:tcPr>
            <w:tcW w:w="4360" w:type="dxa"/>
            <w:vAlign w:val="bottom"/>
            <w:gridSpan w:val="4"/>
          </w:tcPr>
          <w:p>
            <w:pPr>
              <w:ind w:left="80"/>
              <w:spacing w:after="0"/>
              <w:rPr>
                <w:sz w:val="20"/>
                <w:szCs w:val="20"/>
                <w:color w:val="auto"/>
              </w:rPr>
            </w:pPr>
            <w:r>
              <w:rPr>
                <w:rFonts w:ascii="Arial" w:cs="Arial" w:eastAsia="Arial" w:hAnsi="Arial"/>
                <w:sz w:val="18"/>
                <w:szCs w:val="18"/>
                <w:color w:val="auto"/>
                <w:w w:val="89"/>
              </w:rPr>
              <w:t>, 2021 (based on an assumed exchange rate of £1.00 to $1.</w:t>
            </w:r>
          </w:p>
        </w:tc>
        <w:tc>
          <w:tcPr>
            <w:tcW w:w="420" w:type="dxa"/>
            <w:vAlign w:val="bottom"/>
          </w:tcPr>
          <w:p>
            <w:pPr>
              <w:spacing w:after="0"/>
              <w:rPr>
                <w:sz w:val="18"/>
                <w:szCs w:val="18"/>
                <w:color w:val="auto"/>
              </w:rPr>
            </w:pP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w w:val="93"/>
              </w:rPr>
              <w:t>), after deducting underwriting discounts and commissions and</w:t>
            </w:r>
          </w:p>
        </w:tc>
      </w:tr>
      <w:tr>
        <w:trPr>
          <w:trHeight w:val="230"/>
        </w:trPr>
        <w:tc>
          <w:tcPr>
            <w:tcW w:w="2140" w:type="dxa"/>
            <w:vAlign w:val="bottom"/>
            <w:gridSpan w:val="3"/>
          </w:tcPr>
          <w:p>
            <w:pPr>
              <w:spacing w:after="0"/>
              <w:rPr>
                <w:sz w:val="20"/>
                <w:szCs w:val="20"/>
                <w:color w:val="auto"/>
              </w:rPr>
            </w:pPr>
            <w:r>
              <w:rPr>
                <w:rFonts w:ascii="Arial" w:cs="Arial" w:eastAsia="Arial" w:hAnsi="Arial"/>
                <w:sz w:val="18"/>
                <w:szCs w:val="18"/>
                <w:color w:val="auto"/>
                <w:w w:val="92"/>
              </w:rPr>
              <w:t>estimated offering expenses.</w:t>
            </w: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8"/>
        </w:trPr>
        <w:tc>
          <w:tcPr>
            <w:tcW w:w="260" w:type="dxa"/>
            <w:vAlign w:val="bottom"/>
          </w:tcPr>
          <w:p>
            <w:pPr>
              <w:spacing w:after="0"/>
              <w:rPr>
                <w:sz w:val="24"/>
                <w:szCs w:val="24"/>
                <w:color w:val="auto"/>
              </w:rPr>
            </w:pPr>
          </w:p>
        </w:tc>
        <w:tc>
          <w:tcPr>
            <w:tcW w:w="6060" w:type="dxa"/>
            <w:vAlign w:val="bottom"/>
            <w:gridSpan w:val="6"/>
          </w:tcPr>
          <w:p>
            <w:pPr>
              <w:ind w:left="18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per ADS, which reflects the U.S. dollar equivalent of the</w:t>
            </w: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w w:val="93"/>
              </w:rPr>
              <w:t>closing price of our ordinary shares on AIM of £</w:t>
            </w:r>
          </w:p>
        </w:tc>
        <w:tc>
          <w:tcPr>
            <w:tcW w:w="1060" w:type="dxa"/>
            <w:vAlign w:val="bottom"/>
          </w:tcPr>
          <w:p>
            <w:pPr>
              <w:ind w:left="500"/>
              <w:spacing w:after="0"/>
              <w:rPr>
                <w:sz w:val="20"/>
                <w:szCs w:val="20"/>
                <w:color w:val="auto"/>
              </w:rPr>
            </w:pPr>
            <w:r>
              <w:rPr>
                <w:rFonts w:ascii="Arial" w:cs="Arial" w:eastAsia="Arial" w:hAnsi="Arial"/>
                <w:sz w:val="18"/>
                <w:szCs w:val="18"/>
                <w:color w:val="auto"/>
              </w:rPr>
              <w:t>on</w:t>
            </w: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w w:val="91"/>
              </w:rPr>
              <w:t>, 2021 (based on an assumed exchange rate of £1.00 to $1.</w:t>
            </w:r>
          </w:p>
        </w:tc>
        <w:tc>
          <w:tcPr>
            <w:tcW w:w="1640" w:type="dxa"/>
            <w:vAlign w:val="bottom"/>
          </w:tcPr>
          <w:p>
            <w:pPr>
              <w:jc w:val="right"/>
              <w:spacing w:after="0"/>
              <w:rPr>
                <w:sz w:val="20"/>
                <w:szCs w:val="20"/>
                <w:color w:val="auto"/>
              </w:rPr>
            </w:pPr>
            <w:r>
              <w:rPr>
                <w:rFonts w:ascii="Arial" w:cs="Arial" w:eastAsia="Arial" w:hAnsi="Arial"/>
                <w:sz w:val="18"/>
                <w:szCs w:val="18"/>
                <w:color w:val="auto"/>
              </w:rPr>
              <w:t>), would increase</w:t>
            </w:r>
          </w:p>
        </w:tc>
      </w:tr>
      <w:tr>
        <w:trPr>
          <w:trHeight w:val="230"/>
        </w:trPr>
        <w:tc>
          <w:tcPr>
            <w:tcW w:w="5900" w:type="dxa"/>
            <w:vAlign w:val="bottom"/>
            <w:gridSpan w:val="6"/>
          </w:tcPr>
          <w:p>
            <w:pPr>
              <w:spacing w:after="0"/>
              <w:rPr>
                <w:sz w:val="20"/>
                <w:szCs w:val="20"/>
                <w:color w:val="auto"/>
              </w:rPr>
            </w:pPr>
            <w:r>
              <w:rPr>
                <w:rFonts w:ascii="Arial" w:cs="Arial" w:eastAsia="Arial" w:hAnsi="Arial"/>
                <w:sz w:val="18"/>
                <w:szCs w:val="18"/>
                <w:color w:val="auto"/>
              </w:rPr>
              <w:t>(decrease) the as adjusted net tangible book value after this offering by $</w:t>
            </w:r>
          </w:p>
        </w:tc>
        <w:tc>
          <w:tcPr>
            <w:tcW w:w="5120" w:type="dxa"/>
            <w:vAlign w:val="bottom"/>
            <w:gridSpan w:val="3"/>
          </w:tcPr>
          <w:p>
            <w:pPr>
              <w:jc w:val="right"/>
              <w:ind w:right="510"/>
              <w:spacing w:after="0"/>
              <w:rPr>
                <w:sz w:val="20"/>
                <w:szCs w:val="20"/>
                <w:color w:val="auto"/>
              </w:rPr>
            </w:pPr>
            <w:r>
              <w:rPr>
                <w:rFonts w:ascii="Arial" w:cs="Arial" w:eastAsia="Arial" w:hAnsi="Arial"/>
                <w:sz w:val="18"/>
                <w:szCs w:val="18"/>
                <w:color w:val="auto"/>
                <w:w w:val="93"/>
              </w:rPr>
              <w:t>per ADS and the dilution to new investors in the offering by $</w:t>
            </w:r>
          </w:p>
        </w:tc>
      </w:tr>
    </w:tbl>
    <w:p>
      <w:pPr>
        <w:jc w:val="both"/>
        <w:ind w:left="120" w:right="20"/>
        <w:spacing w:after="0" w:line="260" w:lineRule="auto"/>
        <w:rPr>
          <w:sz w:val="20"/>
          <w:szCs w:val="20"/>
          <w:color w:val="auto"/>
        </w:rPr>
      </w:pPr>
      <w:r>
        <w:rPr>
          <w:rFonts w:ascii="Arial" w:cs="Arial" w:eastAsia="Arial" w:hAnsi="Arial"/>
          <w:sz w:val="18"/>
          <w:szCs w:val="18"/>
          <w:color w:val="auto"/>
        </w:rPr>
        <w:t>per ADS, assuming the number of ADSs offered by us, as set forth on the cover page of this prospectus, remains the same and after deducting underwriting discounts and commissions and estimated offering expenses.</w:t>
      </w:r>
    </w:p>
    <w:p>
      <w:pPr>
        <w:spacing w:after="0" w:line="18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as adjusted dilution information discussed above is illustrative only and will change based on the actual initial public offering price and other terms of this offering determined at pricing.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The following table summarizes, on an as adjusted basis described above as of December 31, 2021, the differences between the number of ordinary shares purchased from us, the total consideration paid to us in cash and the average price per ordinary share paid, in each case by existing shareholders, on the one hand, and new investors in this offering, on the other hand. The calculation below is based on an assumed initial public offering</w:t>
      </w:r>
    </w:p>
    <w:p>
      <w:pPr>
        <w:spacing w:after="0" w:line="2" w:lineRule="exact"/>
        <w:rPr>
          <w:sz w:val="20"/>
          <w:szCs w:val="20"/>
          <w:color w:val="auto"/>
        </w:rPr>
      </w:pPr>
    </w:p>
    <w:p>
      <w:pPr>
        <w:ind w:left="120"/>
        <w:spacing w:after="0"/>
        <w:tabs>
          <w:tab w:leader="none" w:pos="1400" w:val="left"/>
          <w:tab w:leader="none" w:pos="9660" w:val="left"/>
          <w:tab w:leader="none" w:pos="1064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8"/>
          <w:szCs w:val="18"/>
          <w:color w:val="auto"/>
        </w:rPr>
        <w:t>per ADS, which reflects the U.S. dollar equivalent of the closing price of our ordinary shares on AIM of £</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6"/>
          <w:szCs w:val="16"/>
          <w:color w:val="auto"/>
        </w:rPr>
        <w:t>, 2021</w:t>
      </w:r>
    </w:p>
    <w:p>
      <w:pPr>
        <w:spacing w:after="0" w:line="9" w:lineRule="exact"/>
        <w:rPr>
          <w:sz w:val="20"/>
          <w:szCs w:val="20"/>
          <w:color w:val="auto"/>
        </w:rPr>
      </w:pPr>
    </w:p>
    <w:p>
      <w:pPr>
        <w:ind w:left="120"/>
        <w:spacing w:after="0"/>
        <w:tabs>
          <w:tab w:leader="none" w:pos="4340" w:val="left"/>
        </w:tabs>
        <w:rPr>
          <w:sz w:val="20"/>
          <w:szCs w:val="20"/>
          <w:color w:val="auto"/>
        </w:rPr>
      </w:pPr>
      <w:r>
        <w:rPr>
          <w:rFonts w:ascii="Arial" w:cs="Arial" w:eastAsia="Arial" w:hAnsi="Arial"/>
          <w:sz w:val="18"/>
          <w:szCs w:val="18"/>
          <w:color w:val="auto"/>
        </w:rPr>
        <w:t>(based on an assumed exchange rate of £1.00 to $1.</w:t>
      </w:r>
      <w:r>
        <w:rPr>
          <w:sz w:val="20"/>
          <w:szCs w:val="20"/>
          <w:color w:val="auto"/>
        </w:rPr>
        <w:tab/>
      </w:r>
      <w:r>
        <w:rPr>
          <w:rFonts w:ascii="Arial" w:cs="Arial" w:eastAsia="Arial" w:hAnsi="Arial"/>
          <w:sz w:val="16"/>
          <w:szCs w:val="16"/>
          <w:color w:val="auto"/>
        </w:rPr>
        <w:t>), before deducting underwriting discounts and commissions and estimated offering expenses.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vMerge w:val="restart"/>
          </w:tcPr>
          <w:p>
            <w:pPr>
              <w:jc w:val="right"/>
              <w:ind w:right="19"/>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2"/>
                <w:szCs w:val="12"/>
                <w:color w:val="auto"/>
              </w:rPr>
            </w:pPr>
          </w:p>
        </w:tc>
        <w:tc>
          <w:tcPr>
            <w:tcW w:w="780" w:type="dxa"/>
            <w:vAlign w:val="bottom"/>
            <w:gridSpan w:val="2"/>
            <w:vMerge w:val="restart"/>
          </w:tcPr>
          <w:p>
            <w:pPr>
              <w:jc w:val="center"/>
              <w:ind w:left="384"/>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6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w w:val="99"/>
              </w:rPr>
              <w:t>ADSs Purchased</w:t>
            </w:r>
          </w:p>
        </w:tc>
        <w:tc>
          <w:tcPr>
            <w:tcW w:w="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w:t>
            </w:r>
          </w:p>
        </w:tc>
        <w:tc>
          <w:tcPr>
            <w:tcW w:w="26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Consideration</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26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ADS</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5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Percent</w:t>
            </w:r>
          </w:p>
        </w:tc>
        <w:tc>
          <w:tcPr>
            <w:tcW w:w="280" w:type="dxa"/>
            <w:vAlign w:val="bottom"/>
          </w:tcPr>
          <w:p>
            <w:pPr>
              <w:spacing w:after="0"/>
              <w:rPr>
                <w:sz w:val="13"/>
                <w:szCs w:val="13"/>
                <w:color w:val="auto"/>
              </w:rPr>
            </w:pPr>
          </w:p>
        </w:tc>
        <w:tc>
          <w:tcPr>
            <w:tcW w:w="7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the extent any of our outstanding options is exercised or any our outstanding RSUs is vested, there will be further dilution to new investors.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underwriters exercise their option to purchase additional ADSs from us in full:</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percentage of ordinary shares held by existing shareholders will decrease to approximately shares outstanding after this offering; and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of the total number of our ordinary</w:t>
      </w:r>
    </w:p>
    <w:p>
      <w:pPr>
        <w:spacing w:after="0" w:line="369" w:lineRule="exact"/>
        <w:rPr>
          <w:sz w:val="20"/>
          <w:szCs w:val="20"/>
          <w:color w:val="auto"/>
        </w:rPr>
      </w:pPr>
    </w:p>
    <w:p>
      <w:pPr>
        <w:sectPr>
          <w:pgSz w:w="11900" w:h="16838" w:orient="portrait"/>
          <w:cols w:equalWidth="0" w:num="3">
            <w:col w:w="620" w:space="460"/>
            <w:col w:w="6860" w:space="440"/>
            <w:col w:w="2760"/>
          </w:cols>
          <w:pgMar w:left="320" w:top="459" w:right="43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number of ordinary shares held by new investors will increase to approximately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the total number of our ordinary shares</w:t>
      </w:r>
    </w:p>
    <w:p>
      <w:pPr>
        <w:spacing w:after="0" w:line="396" w:lineRule="exact"/>
        <w:rPr>
          <w:sz w:val="20"/>
          <w:szCs w:val="20"/>
          <w:color w:val="auto"/>
        </w:rPr>
      </w:pPr>
    </w:p>
    <w:p>
      <w:pPr>
        <w:sectPr>
          <w:pgSz w:w="11900" w:h="16838" w:orient="portrait"/>
          <w:cols w:equalWidth="0" w:num="3">
            <w:col w:w="620" w:space="460"/>
            <w:col w:w="6200" w:space="540"/>
            <w:col w:w="332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40"/>
          </w:cols>
          <w:pgMar w:left="32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You should read the following discussion together with “Selected Consolidated Financial Data” and the consolidated financial statements and related notes included elsewhere in this prospectus. This discussion contains forward-looking statements regarding industry outlook and our expectations regarding our future performance, liquidity and capital resources, as well as other non-historical statements. These forward-looking statements are subject to numerous risks and uncertainties, including, but not limited to, the risks and uncertainties described in “Risk Factors” and “Special Note Regarding Forward-Looking Statements.” Our actual results may differ materially from those contained in or implied by any forward-looking statements.</w:t>
      </w:r>
    </w:p>
    <w:p>
      <w:pPr>
        <w:spacing w:after="0" w:line="300"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i w:val="1"/>
          <w:iCs w:val="1"/>
          <w:color w:val="auto"/>
        </w:rPr>
        <w:t>Following the acquisition of Unruly in 2020, we changed our Programmatic business, tech stack, features, business models and activity, requiring an analysis of whether we act as a principal or an agent, which led us to determine that we act as an agent, and not as principal. Therefore, effective January 1, 2020, we recognize revenue on a net basis for the Programmatic activity, which had been recognized on a gross basis historically, including for the year ended December 31, 2019. Our results of operations for the years ended December 31, 2020 and 2019 are not directly comparable as a result of recognizing revenue on a net basis for the Programmatic revenue for the year ended December 31, 2020. See “—Critical Accounting Policies, Judgments and Estimates—Revenue Recognition” for information regarding the revenue recognition presentation change.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are a global company offering an end-to-end software platform that enables advertisers to reach relevant audiences and publishers to maximize yield on their digital advertising inventory. We use our proprietary technology to deliver impactful brand stories to target audiences through digital ad technology and advanced audience data. Our omni-channel capabilities deliver global advertising campaigns across all formats and channels, with an expertise in Video and CTV.</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believe there is a significant market opportunity within the approximately $340 billion global digital advertising market that is expected to grow at a CAGR of 12.4% through 2024, according to eMarketer. Digital publishers rely on advertising to support their businesses and brands, and advertisers use this medium to capture uniquely targeted and viewable impressions. We believe the digital advertising market remains fragmented and that our full service end-to-end software platform and vast expertise within Video and CTV puts us in a strong position to continue to increase our market share from traditional ad sales channels.</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believe that we are positioned to benefit from several trends in the evolving advertising ecosystem, including the proliferation of digital media consumption, adoption of programmatic advertising, a growing focus on premium formats such as Video and CTV, and the increasing sophistication of the overall digital landscape. We address the broad and evolving digital advertising market through our three core offerings, including a proprietary DSP solution that advertisers leverage to manage digital advertising campaigns, a proprietary SSP solution that publishers leverage to optimally monetize digital inventory and a proprietary DMP solution which is integrated with both our DSP and SSP solutions. Our versatile DMP solution benefits from vast amounts of data and provides optimal campaign recommendations for audience sets by employing advanced machine learning algorithms. The contextualization of the data synthesized by our DMP solution provides our advertisers with a comprehensive, personalized view of audiences, enabling more effective targeting across formats and devices and optimizes the monetization of publisher inventory. By combining these three proprietary solutions as well as integrations with industry leading partners, we provide an end-to-end software platform that is dynamic and flexible to our customers’ needs, which enables us to address more digital ad spend.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205740</wp:posOffset>
            </wp:positionV>
            <wp:extent cx="4620260" cy="2272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2026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customers are both ad buyers, including brands and agencies, and digital publishers. Our platform includes a diversified customer base of approximately 900 active customers and 1,450 active publishers with approximately 800 million unique users for the month ended March 31, 2021, which serves advertisements in over 100 countries.</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generate revenue through platform fees that are tailored to fit the customer’s specific utilization of our solutions and include (i) a percentage of spend, (ii) flat fees and (iii) fixed CPM.</w:t>
      </w:r>
    </w:p>
    <w:p>
      <w:pPr>
        <w:spacing w:after="0" w:line="170"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The majority of our revenue is generated in the United States. In the six months ended December 31, 2020, our CTV advertising gross revenue grew 144% from the six months ended June 30, 2020 and 137% from the six months ended December 31, 2019. In the year ended December 31, 2020, CTV advertising net revenue increased 164% year-over-year from the year ended December 31, 2019 on a comparable net basis. CTV net revenue comprised 21% of net revenue in the six months ended December 31, 2020, leading to net revenue growth of 104% compared to the six months ended June 30, 2020, and 37% from the six months ended December 31, 2019, and CTV net revenue comprised 20% of net revenue in the year ended December 31, 2020, representing a 12% growth year-over-year from the year ended December 31, 2019. We generated $184 million and $164 million in net revenue in the years ended December 31, 2020 and 2019, respectively, representing 12% growth year-over-year, partially due to an the impact of the COVID-19 pandemic for the six months ended June 30, 2020.</w:t>
      </w:r>
    </w:p>
    <w:p>
      <w:pPr>
        <w:spacing w:after="0" w:line="17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Our total comprehensive income for the six months ended December 31, 2020 increased $62.3 million from the equivalent figure for the six months ended June 30, 2020 and represented a 211% year-over-year increase as compared to our total comprehensive income for the six months ended December 31, 2019. We generated $5.0 million and $6.3 million in total comprehensive income in the years ended December 31, 2020 and 2019, respectively. Our Adjusted EBITDA for the six months ended December 31, 2020 increased approximately 32 times from the equivalent figure for the six months ended June 30, 2020 and represented a 51% year-over-year increase as compared to our Adjusted EBITDA for the six months ended December 31, 2019. Additionally, we generated $60.5 million and $60.4 million in Adjusted EBITDA in the years ended December 31, 2020 and 2019, respectively, resulting in a cash position of $97 million as of December 31, 2020.</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end-to-end platform is a comprehensive software suite that supports a wide range of media types (e.g., Video, display, etc.) and devices (e.g., mobile, CTVs, streaming devices, desktop, etc.), creating an efficient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marketplace where advertisers are able to purchase high quality advertising inventory from publishers at scale. Our solutions offer many advantages, including an advanced real-time bidding auction optimization engine, a quality and global marketplace, and flexibility to enact concurrent campaign strategies that drives strong returns for investments in digital ad real estate.</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platform handles over 100 billion daily ad requests, approximately 500 terabytes of daily data and approximately 250 million daily ad impressions. Each transaction is processed in a fraction of a second (55ms on average) and powered by our real-time bidding engine, which leverages thousands of private servers and infrastructure in three strategically located data centers located in the United States, Europe and Asia Pacific.</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Components of our platform include:</w:t>
      </w:r>
    </w:p>
    <w:p>
      <w:pPr>
        <w:spacing w:after="0" w:line="131" w:lineRule="exact"/>
        <w:rPr>
          <w:sz w:val="20"/>
          <w:szCs w:val="20"/>
          <w:color w:val="auto"/>
        </w:rPr>
      </w:pPr>
    </w:p>
    <w:p>
      <w:pPr>
        <w:jc w:val="both"/>
        <w:ind w:left="1080" w:right="2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Demand Side Platform – We offer a self-service DSP solution for advertisers and their agencies to efficiently and intuitively manage omni-channel campaigns. We also offer a full-service option to agencies in addition to our self-service DSP solution. Our DSP solution provides access to wide reaching and high quality inventory, audience targeting and advanced reporting to optimize advertising campaigns, improve ROI and gain deep insights and analytics into brand engagement.</w:t>
      </w:r>
    </w:p>
    <w:p>
      <w:pPr>
        <w:spacing w:after="0" w:line="92" w:lineRule="exact"/>
        <w:rPr>
          <w:rFonts w:ascii="Arial" w:cs="Arial" w:eastAsia="Arial" w:hAnsi="Arial"/>
          <w:sz w:val="18"/>
          <w:szCs w:val="18"/>
          <w:color w:val="auto"/>
        </w:rPr>
      </w:pPr>
    </w:p>
    <w:p>
      <w:pPr>
        <w:jc w:val="both"/>
        <w:ind w:left="1080" w:hanging="532"/>
        <w:spacing w:after="0" w:line="29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Data Management Platform – We offer a fully integrated DMP solution that sits at the center of our platform that unlocks the power of data flowing through our DSP and SSP solutions. Our DMP enables advertisers and publishers to use data from various sources in order to optimize results of their advertising campaigns. Our DMP provides insights and recommendations pertaining to geographic, behavioral and demographic data, among others in one unified solution. We believe an integrated DMP is a key component to the marketplace because it enables advertisers and publishers to use and activate data to target audiences with more accuracy across a number of different channels.</w:t>
      </w:r>
    </w:p>
    <w:p>
      <w:pPr>
        <w:spacing w:after="0" w:line="66" w:lineRule="exact"/>
        <w:rPr>
          <w:rFonts w:ascii="Arial" w:cs="Arial" w:eastAsia="Arial" w:hAnsi="Arial"/>
          <w:sz w:val="16"/>
          <w:szCs w:val="16"/>
          <w:color w:val="auto"/>
        </w:rPr>
      </w:pPr>
    </w:p>
    <w:p>
      <w:pPr>
        <w:jc w:val="both"/>
        <w:ind w:left="1080" w:right="20" w:hanging="532"/>
        <w:spacing w:after="0" w:line="31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Supply Side Platform – We offer a self-service SSP solution for digital publishers to sell their online ad placements via a real-time bidding auction across all screens including mobile, CTVs, streaming devices and desktops. Our SSP provides access to significant amounts of data, unique demand and a comprehensive product suite to drive more effective inventory management and revenue optimization.</w:t>
      </w:r>
    </w:p>
    <w:p>
      <w:pPr>
        <w:spacing w:after="0" w:line="54" w:lineRule="exact"/>
        <w:rPr>
          <w:rFonts w:ascii="Arial" w:cs="Arial" w:eastAsia="Arial" w:hAnsi="Arial"/>
          <w:sz w:val="16"/>
          <w:szCs w:val="16"/>
          <w:color w:val="auto"/>
        </w:rPr>
      </w:pPr>
    </w:p>
    <w:p>
      <w:pPr>
        <w:jc w:val="both"/>
        <w:ind w:left="1080" w:right="2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Analytics/Artificial Intelligence – We collect, synthesize and analyze the data sets across our platform through extensive artificial intelligence technologies and advanced machine learning capabilities. These recommendations ultimately provide key insights into valuable ad impressions and forecasts for auction behavior. We believe these technologies drive optimal results for our advertisers and publishers.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our results of operations is influenced by several factors, including the following:</w:t>
      </w:r>
    </w:p>
    <w:p>
      <w:pPr>
        <w:spacing w:after="0" w:line="221"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Attract, Retain and Grow our Customer Base: </w:t>
      </w:r>
      <w:r>
        <w:rPr>
          <w:rFonts w:ascii="Arial" w:cs="Arial" w:eastAsia="Arial" w:hAnsi="Arial"/>
          <w:sz w:val="18"/>
          <w:szCs w:val="18"/>
          <w:color w:val="auto"/>
        </w:rPr>
        <w:t>Our recent growth has been driven by expanding the usage of our platform by our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advertisers and publishers as well as by adding new advertisers and publishers. As a result, our revenue growth depends upon our ability to retain our existing advertisers and publishers and to capture a larger amount of their advertising spend through our platform.</w:t>
      </w:r>
    </w:p>
    <w:p>
      <w:pPr>
        <w:spacing w:after="0" w:line="18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For the year ended December 31, 2020, we achieved an average net revenue per active customer of $207 thousand. Despite a negative COVID-19 impact on the number of active customers for the year ended December 31, 2020, we generated total revenue of $211.9 million for the year ended December 31, 2020. In particular, in the first half of 2020, our business was negatively impacted by the COVID-19 pandemic, which resulted in a decrease in advertising demand globally. As business promotion activities started to recover, the second half of 2020 saw a significant resurgence of advertising spend, except for certain verticals such as travel, retail and hospitality.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have demonstrated our ability to retain existing advertisers and publishers, including during 2020, which presented unique challenges due to the COVID-19 pandemic. For the year ended December 31, 2020, 83% of our customers were active customers for a period of more than two years. Meanwhile, 10% of our customers became active customers during the year ended December 31, 2020, with the remaining 7% of our customer base being active customers for between one and two years.</w:t>
      </w:r>
    </w:p>
    <w:p>
      <w:pPr>
        <w:spacing w:after="0" w:line="18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We continue to add functionality to our platform to encourage existing advertisers or publishers to increase their usage of our platform. As a result of this and other similar engagement initiatives, we achieved a net revenue retention rate of 112% for the year ended December 31, 2020.</w:t>
      </w:r>
    </w:p>
    <w:p>
      <w:pPr>
        <w:spacing w:after="0" w:line="14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color w:val="auto"/>
        </w:rPr>
        <w:t xml:space="preserve">Investment in Growth: </w:t>
      </w:r>
      <w:r>
        <w:rPr>
          <w:rFonts w:ascii="Arial" w:cs="Arial" w:eastAsia="Arial" w:hAnsi="Arial"/>
          <w:sz w:val="17"/>
          <w:szCs w:val="17"/>
          <w:color w:val="auto"/>
        </w:rPr>
        <w:t>We believe that the advertising market is in the early stages of a secular shift towards digital video advertising.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specializing in digital video advertising, which collectively accounts for 78% of our net revenue for the year ended December 31, 2020. We plan to invest in long-term growth by focusing on the main drivers of digital advertising growth – Video and CTV. We anticipate that our operating expenses will increase in the foreseeable future as we invest in platform operations and technology and development to enhance our product capabilities including deployment of more self-serve capabilities both to our advertisers and publishers, expediting data relationships and technology, adding more ad formats to our platform (e.g., audio, display, etc.). We believe that these investments will contribute to our long-term growth, although it is uncertain whether they may impact our profitability in the near-term.</w:t>
      </w:r>
    </w:p>
    <w:p>
      <w:pPr>
        <w:spacing w:after="0" w:line="17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b w:val="1"/>
          <w:bCs w:val="1"/>
          <w:color w:val="auto"/>
        </w:rPr>
        <w:t>Growth of the Digital Advertising Market and Macroeconomics Factors</w:t>
      </w:r>
      <w:r>
        <w:rPr>
          <w:rFonts w:ascii="Arial" w:cs="Arial" w:eastAsia="Arial" w:hAnsi="Arial"/>
          <w:sz w:val="17"/>
          <w:szCs w:val="17"/>
          <w:color w:val="auto"/>
        </w:rPr>
        <w:t>: We expect to continue to benefit from overall adoption of digital</w:t>
      </w:r>
      <w:r>
        <w:rPr>
          <w:rFonts w:ascii="Arial" w:cs="Arial" w:eastAsia="Arial" w:hAnsi="Arial"/>
          <w:sz w:val="17"/>
          <w:szCs w:val="17"/>
          <w:b w:val="1"/>
          <w:bCs w:val="1"/>
          <w:color w:val="auto"/>
        </w:rPr>
        <w:t xml:space="preserve"> </w:t>
      </w:r>
      <w:r>
        <w:rPr>
          <w:rFonts w:ascii="Arial" w:cs="Arial" w:eastAsia="Arial" w:hAnsi="Arial"/>
          <w:sz w:val="17"/>
          <w:szCs w:val="17"/>
          <w:color w:val="auto"/>
        </w:rPr>
        <w:t>video advertising by both advertisers and publishers. Any material change in the growth rate of digital video advertising or the rate of adoption could affect our performance. Recent trends have indicated that advertising spend is closely tied to advertisers’ financial performance and economic conditions, either generally or in one or more of the industries in which our advertisers operate or our publishers focus. An economic downturn could adversely impact the digital advertising market and our operating results. For example, the challenges posed by the COVID-19 pandemic on the global economy increased significantly as the first quarter of 2020 progressed and continued throughout 2020 and into 2021. In response to COVID-19, national and local governments around the world have instituted certain measures, including travel bans, prohibitions on group events and gatherings, shutdowns of certain businesses, curfews, shelter-in-place orders and recommendations to practice social distancing. Certain marketers in industries such as travel and tourism, hospitality and automotive, decreased or paused their advertising spend as a response to the economic uncertainty. In the first half of 2020, our business was negatively impacted by the COVID-19 pandemic.</w:t>
      </w:r>
    </w:p>
    <w:p>
      <w:pPr>
        <w:spacing w:after="0" w:line="18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As the overall economic environment improved during the second half of 2020, we experienced a significant resurgence of advertising demand globally. In the six months ended December 31, 2020, our CTV advertising gross revenue grew 144% from the six months ended June 30, 2020 and 137% from the six months ended December 31, 2019. CTV net revenue comprised 21% of net revenue in the six months ended December 31, 2020, leading to net revenue growth of 104% compared to the six months ended June 30, 2020, and 37% from the six months ended December 31, 2019.</w:t>
      </w:r>
    </w:p>
    <w:p>
      <w:pPr>
        <w:spacing w:after="0" w:line="15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In addition, the economic uncertainty caused by the COVID-19 pandemic has made and may continue to make it difficult for us to forecast revenue and operating results and to make decisions regarding operational cost structures and investments. The ultimate impact of COVID-19 on the Company’s results of operations, financial condition and cash flows is dependent on future developments, including the duration of the COVID-19 pandemic and its impact on the global economy, which are uncertain and cannot be predicted at this time. For further discussion of the potential impacts of the COVID-19 pandemic on our business, see “</w:t>
      </w:r>
      <w:r>
        <w:rPr>
          <w:rFonts w:ascii="Arial" w:cs="Arial" w:eastAsia="Arial" w:hAnsi="Arial"/>
          <w:sz w:val="17"/>
          <w:szCs w:val="17"/>
          <w:i w:val="1"/>
          <w:iCs w:val="1"/>
          <w:color w:val="auto"/>
        </w:rPr>
        <w:t>Risk Factors—Our revenue and results of operations are highly dependent on the overall demand for</w:t>
      </w:r>
      <w:r>
        <w:rPr>
          <w:rFonts w:ascii="Arial" w:cs="Arial" w:eastAsia="Arial" w:hAnsi="Arial"/>
          <w:sz w:val="17"/>
          <w:szCs w:val="17"/>
          <w:color w:val="auto"/>
        </w:rPr>
        <w:t xml:space="preserve"> </w:t>
      </w:r>
      <w:r>
        <w:rPr>
          <w:rFonts w:ascii="Arial" w:cs="Arial" w:eastAsia="Arial" w:hAnsi="Arial"/>
          <w:sz w:val="17"/>
          <w:szCs w:val="17"/>
          <w:i w:val="1"/>
          <w:iCs w:val="1"/>
          <w:color w:val="auto"/>
        </w:rPr>
        <w:t>advertising. Factors that affect the amount of advertising spending, such as economic downturns and the COVID-19 pandemic, can make it difficult to predict our revenue and could adversely affect our business, results of operations, and financial condition.</w:t>
      </w:r>
      <w:r>
        <w:rPr>
          <w:rFonts w:ascii="Arial" w:cs="Arial" w:eastAsia="Arial" w:hAnsi="Arial"/>
          <w:sz w:val="17"/>
          <w:szCs w:val="17"/>
          <w:color w:val="auto"/>
        </w:rPr>
        <w: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b w:val="1"/>
          <w:bCs w:val="1"/>
          <w:color w:val="auto"/>
        </w:rPr>
        <w:t>Seasonality</w:t>
      </w:r>
      <w:r>
        <w:rPr>
          <w:rFonts w:ascii="Arial" w:cs="Arial" w:eastAsia="Arial" w:hAnsi="Arial"/>
          <w:sz w:val="18"/>
          <w:szCs w:val="18"/>
          <w:color w:val="auto"/>
        </w:rPr>
        <w:t>: In the advertising industry, companies commonly experience seasonal fluctuations in revenue. For example, many marketers allocate</w:t>
      </w:r>
      <w:r>
        <w:rPr>
          <w:rFonts w:ascii="Arial" w:cs="Arial" w:eastAsia="Arial" w:hAnsi="Arial"/>
          <w:sz w:val="18"/>
          <w:szCs w:val="18"/>
          <w:b w:val="1"/>
          <w:bCs w:val="1"/>
          <w:color w:val="auto"/>
        </w:rPr>
        <w:t xml:space="preserve"> </w:t>
      </w:r>
      <w:r>
        <w:rPr>
          <w:rFonts w:ascii="Arial" w:cs="Arial" w:eastAsia="Arial" w:hAnsi="Arial"/>
          <w:sz w:val="18"/>
          <w:szCs w:val="18"/>
          <w:color w:val="auto"/>
        </w:rPr>
        <w:t>the largest portion of their budgets to the fourth quarter of the calendar year in order to coincide with increased holiday purchasing. Historically, the fourth quarter of the year has reflected our highest level of advertising activity for the year. We generally expect the subsequent first quarter to reflect lower activity levels. In addition, historical seasonality may not be predictive of future results given the potential for changes in advertising buying patterns and consumer activity due to the COVID-19 pandemic. For example, in 2020, advertising activities were less associated with the holiday spending patterns. Instead, as business activities adapt into the new environment amid the COVID-19 pandemic, in the second half of 2020, we saw a significant resurgence in advertising demand on our platform. Nevertheless, as countries recover from the COVID-19 pandemic and return to pre-pandemic business conditions, we expect our revenue to continue to fluctuate based on seasonal factors that affect the advertising industry as a whole.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prepare our consolidated financial statements in accordance with IFRS as issued by the IASB. In preparing our audited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critical accounting estimates and judgments are described in Note 2 to our audited consolidated financial statements included elsewhere in this prospectus.</w:t>
      </w:r>
    </w:p>
    <w:p>
      <w:pPr>
        <w:spacing w:after="0" w:line="19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An accounting policy is deemed to be critical if it requires an accounting estimate to be made on assumptions about matters that are highly uncertain at the time the estimate is made, if different estimates reasonably could have been used, or if changes in the estimate that are reasonably possible could materially impact the financial statements. We consider the following to be our critical accounting policies and estimates.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section, we use the following terms: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Programmatic”</w:t>
      </w:r>
      <w:r>
        <w:rPr>
          <w:rFonts w:ascii="Arial" w:cs="Arial" w:eastAsia="Arial" w:hAnsi="Arial"/>
          <w:sz w:val="18"/>
          <w:szCs w:val="18"/>
          <w:color w:val="auto"/>
        </w:rPr>
        <w:t xml:space="preserve"> means our end-to-end platform of programmatic advertising, which uses software and algorithms to match buyers and sellers of digital advertising in a technology-driven marketplace; transactions in our Programmatic activities are executed in milliseconds and beginning in 2020, human intervention or discretion for execution has significantly decreased.</w:t>
      </w:r>
    </w:p>
    <w:p>
      <w:pPr>
        <w:spacing w:after="0" w:line="184"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w:t>
      </w:r>
      <w:r>
        <w:rPr>
          <w:rFonts w:ascii="Arial" w:cs="Arial" w:eastAsia="Arial" w:hAnsi="Arial"/>
          <w:sz w:val="16"/>
          <w:szCs w:val="16"/>
          <w:color w:val="auto"/>
        </w:rPr>
        <w:t xml:space="preserve"> means our non-core performance activities consisting primarily of mobile-based solutions that help brands reach their users; revenue generated in the Performance activities is contingent on the occurrence of performance-based metrics, such as app downloads and installations.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generate revenue from transactions where we provide access to our platform for the purchase and sale of digital advertising inventory. Our customers are both ad buyers, including brands and agencies, and digital publishers. We generate revenue through platform fees that are tailored to fit our customer’s specific utilization of our solutions and include: (i) a percentage of spend, (ii) flat fees and (iii) fixed costs per mile (“CPM”). CPM refers to a payment option in which customers pay a price for every 1,000 impressions an advertisement receives.</w:t>
      </w:r>
    </w:p>
    <w:p>
      <w:pPr>
        <w:spacing w:after="0" w:line="17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maintain written service agreement with each publisher and buyer, which set out the terms of the relationship, including payment terms and access to our platform.</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Publishers provide digital advertising inventory to our platform in the form of advertising requests, or ad requests. When we receive ad requests from a publisher, we send bid requests to buyers, which enable buyers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bid on sellers’ digital advertising inventory according to a predefined set of parameters (e.g., demographics, intent, location, etc.). Winning bids create advertising, or paid impressions, for the publisher to present to the buyers.</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generate revenue from our Programmatic and Performance activities. Programmatic revenue is derived from the end-to-end platform of programmatic advertising, which uses software and algorithms to match buyers and sellers of digital advertising in a technology-driven marketplace. Performance revenue is derived from non-core activities, consisting of mobile-based activities that help brands reach their users.</w:t>
      </w:r>
    </w:p>
    <w:p>
      <w:pPr>
        <w:spacing w:after="0" w:line="165"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Till the acquisitions of RhythmOne and its integration into us and the acquisition of Unruly in the beginning of 2020 (i.e. for the year ended December 31, 2019), we determined that we operated as a principal with respect to its Programmatic activity and therefore presented revenue on a gross basis mainly as: (i) we operated predominantly through a DSP platform prior to the acquisition and full integration of RhythmOne, (ii) we were highly involved in execution of the process, which required certain manual operations by our employees and (iii) we determined that we had an implicit obligation to provide credits and inducements to customers to encourage use of the platform. That is, we determined, on this basis, that we had an implicit obligation to provide advertising space to customers, even though the contractual terms and conditions (including our Master Service Agreements (“MSAs”) and insertion order do not explicitly state that we are obliged to deliver customers an applicable advertising space or to provide inducements to the customer. Consequently, we concluded that we were primarily responsible for fulfillment of the contract.</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Following the full integration with RhythmOne and the acquisition of Unruly in 2020, we positioned ourself as a stronger digital advertising platform in the marketplace with an integrated, end-to-end platform connecting the DSP and SSP sides of the business in a unified platform. As a result, we have changed its Programmatic business, tech stack, features, business models and activity as follows:</w:t>
      </w:r>
    </w:p>
    <w:p>
      <w:pPr>
        <w:spacing w:after="0" w:line="89" w:lineRule="exact"/>
        <w:rPr>
          <w:sz w:val="20"/>
          <w:szCs w:val="20"/>
          <w:color w:val="auto"/>
        </w:rPr>
      </w:pPr>
    </w:p>
    <w:p>
      <w:pPr>
        <w:ind w:left="1540" w:right="20" w:hanging="439"/>
        <w:spacing w:after="0" w:line="308" w:lineRule="auto"/>
        <w:tabs>
          <w:tab w:leader="none" w:pos="1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implemented a material change in its tech stack and operations, offering new services and features that increased automation across the platform, significantly decreasing the need for our employees to manually operate the platform; and</w:t>
      </w:r>
    </w:p>
    <w:p>
      <w:pPr>
        <w:spacing w:after="0" w:line="51" w:lineRule="exact"/>
        <w:rPr>
          <w:rFonts w:ascii="Arial" w:cs="Arial" w:eastAsia="Arial" w:hAnsi="Arial"/>
          <w:sz w:val="17"/>
          <w:szCs w:val="17"/>
          <w:color w:val="auto"/>
        </w:rPr>
      </w:pPr>
    </w:p>
    <w:p>
      <w:pPr>
        <w:ind w:left="1540" w:hanging="439"/>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decreased significantly the level of credits and inducements offered to our customers.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further concluded that as a result of such change in its Programmatic activity (i) we do not have manual control over the process, (ii) we are not primarily responsible for fulfillment, (iii) we have no inventory risk and (iv) we obtain only momentary title to the advertising space offered via the end-to-end platform.</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Performance activity has not changed and we are still the primary obligor to provide these services. As such, revenue is presented on a gross basis for our Performance activity. We are strategically focused on driving growth with our Programmatic activity through the end-to-end platform, while our Performance activities are declining over time.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results of operations for the years ended December 31, 2020 and 2019 are not directly comparable as a result of presenting revenue on a net basis for the Programmatic revenue for the year ended December 31, 2020. The following table sets forth our results of operations for the years ended December 31, 2020 and 2019 on an as reported basis for 2020 and, to facilitate comparability, on an as reported and a comparable basis for 2019.</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 2019</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Programmatic</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adjusted</w:t>
            </w: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2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2020 vs. 2019</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As reported</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As reported</w:t>
            </w: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w:t>
            </w: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media cost</w:t>
            </w:r>
            <w:r>
              <w:rPr>
                <w:rFonts w:ascii="Arial" w:cs="Arial" w:eastAsia="Arial" w:hAnsi="Arial"/>
                <w:sz w:val="12"/>
                <w:szCs w:val="12"/>
                <w:b w:val="1"/>
                <w:bCs w:val="1"/>
                <w:color w:val="auto"/>
                <w:w w:val="95"/>
              </w:rPr>
              <w:t>(1)</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(non-IFRS)</w:t>
            </w:r>
          </w:p>
        </w:tc>
        <w:tc>
          <w:tcPr>
            <w:tcW w:w="120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(non-IFRS)</w:t>
            </w:r>
          </w:p>
        </w:tc>
        <w:tc>
          <w:tcPr>
            <w:tcW w:w="0" w:type="dxa"/>
            <w:vAlign w:val="bottom"/>
          </w:tcPr>
          <w:p>
            <w:pPr>
              <w:spacing w:after="0"/>
              <w:rPr>
                <w:sz w:val="1"/>
                <w:szCs w:val="1"/>
                <w:color w:val="auto"/>
              </w:rPr>
            </w:pPr>
          </w:p>
        </w:tc>
      </w:tr>
      <w:tr>
        <w:trPr>
          <w:trHeight w:val="106"/>
        </w:trPr>
        <w:tc>
          <w:tcPr>
            <w:tcW w:w="4500" w:type="dxa"/>
            <w:vAlign w:val="bottom"/>
            <w:vMerge w:val="continue"/>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20"/>
                <w:szCs w:val="20"/>
                <w:color w:val="auto"/>
              </w:rPr>
            </w:pPr>
            <w:r>
              <w:rPr>
                <w:rFonts w:ascii="Arial" w:cs="Arial" w:eastAsia="Arial" w:hAnsi="Arial"/>
                <w:sz w:val="14"/>
                <w:szCs w:val="14"/>
                <w:b w:val="1"/>
                <w:bCs w:val="1"/>
                <w:color w:val="auto"/>
              </w:rPr>
              <w:t>percentages)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Programmatic</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$ 241,464</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   (117,301)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$ 124,163</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  161,625</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84,296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84,296</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50,295</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(40%)</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325,760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(117,301)</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208,459</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211,920</w:t>
            </w:r>
          </w:p>
        </w:tc>
        <w:tc>
          <w:tcPr>
            <w:tcW w:w="3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(35%)</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Cost of revenues (exclusive of depreciation and</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amortization)</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Programmatic</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142,676</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(117,301)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25,375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31,918</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(78%)</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44,570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44,570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27,889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(37%)</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(117,301)</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69,945</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59,807</w:t>
            </w:r>
          </w:p>
        </w:tc>
        <w:tc>
          <w:tcPr>
            <w:tcW w:w="3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(68%)</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(14%)</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Programmatic</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98,788</w:t>
            </w:r>
          </w:p>
        </w:tc>
        <w:tc>
          <w:tcPr>
            <w:tcW w:w="1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98,788</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129,706</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31%</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39,726</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22,406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(44%)</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5"/>
              </w:rPr>
              <w:t>(44%)</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138,514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138,514</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152,113</w:t>
            </w:r>
          </w:p>
        </w:tc>
        <w:tc>
          <w:tcPr>
            <w:tcW w:w="3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134,611</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158,138</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3,903</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(6,025)</w:t>
            </w:r>
          </w:p>
        </w:tc>
        <w:tc>
          <w:tcPr>
            <w:tcW w:w="3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(254%)</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7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3" w:lineRule="exact"/>
        <w:rPr>
          <w:sz w:val="20"/>
          <w:szCs w:val="20"/>
          <w:color w:val="auto"/>
        </w:rPr>
      </w:pPr>
    </w:p>
    <w:p>
      <w:pPr>
        <w:ind w:left="540" w:right="20" w:hanging="424"/>
        <w:spacing w:after="0" w:line="308"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order to facilitate comparability of our results of operations, we excluded Programmatic media cost for 2019. Programmatic media cost represents costs of acquiring publishers’ advertising space that is purchased by advertisers via our Programmatic end-to-end solution.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is generated from transactions where we provide a platform for the purchase and sale of digital adverting inventory. Our</w:t>
      </w:r>
      <w:r>
        <w:rPr>
          <w:rFonts w:ascii="Arial" w:cs="Arial" w:eastAsia="Arial" w:hAnsi="Arial"/>
          <w:sz w:val="18"/>
          <w:szCs w:val="18"/>
          <w:i w:val="1"/>
          <w:iCs w:val="1"/>
          <w:color w:val="auto"/>
        </w:rPr>
        <w:t xml:space="preserve"> </w:t>
      </w:r>
      <w:r>
        <w:rPr>
          <w:rFonts w:ascii="Arial" w:cs="Arial" w:eastAsia="Arial" w:hAnsi="Arial"/>
          <w:sz w:val="18"/>
          <w:szCs w:val="18"/>
          <w:color w:val="auto"/>
        </w:rPr>
        <w:t>end-to-end platform is a comprehensive software suite that supports a wide range of media types (e.g., Video, display, etc.) and devices (e.g., mobile, CTVs, streaming devices, desktop, etc.), creating an efficient marketplace where advertisers (buyers) are able to purchase high quality advertising inventory from publishers (sellers) at scale.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generate revenue through fees that we charge, based on customer type, to utilize our solutions and services and upon usage and delivery.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Often, advertisers use our DSP solution to access our DMP for optimizing media buys from our SSP solution.</w:t>
      </w:r>
    </w:p>
    <w:p>
      <w:pPr>
        <w:spacing w:after="0" w:line="21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Effective January 1, 2020, we present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Critical Accounting Policies, Judgments and Estimates—Revenue Recognition</w:t>
      </w:r>
      <w:r>
        <w:rPr>
          <w:rFonts w:ascii="Arial" w:cs="Arial" w:eastAsia="Arial" w:hAnsi="Arial"/>
          <w:sz w:val="18"/>
          <w:szCs w:val="18"/>
          <w:color w:val="auto"/>
        </w:rPr>
        <w:t>” for information regarding the revenue recognition presentation change. Our Performance revenue is recognized on a gross basis for the years ended December 31, 2020 and 2019.</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i w:val="1"/>
          <w:iCs w:val="1"/>
          <w:color w:val="auto"/>
        </w:rPr>
        <w:t xml:space="preserve">Cost of revenues (exclusive of depreciation and amortization). </w:t>
      </w:r>
      <w:r>
        <w:rPr>
          <w:rFonts w:ascii="Arial" w:cs="Arial" w:eastAsia="Arial" w:hAnsi="Arial"/>
          <w:sz w:val="18"/>
          <w:szCs w:val="18"/>
          <w:color w:val="auto"/>
        </w:rPr>
        <w:t>Cost of revenues (exclusive of depreciation and amortization) primarily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hosting fees and data costs for both Programmatic and Performance activities, as well as media costs for Performance activities that are directly attributable to revenue generated by the Company and based on the revenue share arrangements with audience and content partners. Our cost of revenues (exclusive of depreciation and amortization) for the years ended December 31, 2020 and 2019 are not directly comparable as a result of the revenue recognition presentation change. Effective January 1, 2020, we no longer include the costs of acquiring publishers’ advertising space that is purchased by advertisers via our Programmatic end-to-end solution in our cost of revenue, which is consistent with our change in revenue recognition. See “—</w:t>
      </w:r>
      <w:r>
        <w:rPr>
          <w:rFonts w:ascii="Arial" w:cs="Arial" w:eastAsia="Arial" w:hAnsi="Arial"/>
          <w:sz w:val="18"/>
          <w:szCs w:val="18"/>
          <w:i w:val="1"/>
          <w:iCs w:val="1"/>
          <w:color w:val="auto"/>
        </w:rPr>
        <w:t>Critical Accounting Policies, Judgments and Estimates—Revenue Recognition</w:t>
      </w:r>
      <w:r>
        <w:rPr>
          <w:rFonts w:ascii="Arial" w:cs="Arial" w:eastAsia="Arial" w:hAnsi="Arial"/>
          <w:sz w:val="18"/>
          <w:szCs w:val="18"/>
          <w:color w:val="auto"/>
        </w:rPr>
        <w:t>” for information regarding the revenue recognition presentation change.</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consist primarily of compensation and related costs for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the research and development of new and existing products and services. Where required, development expenditures are capitalized in accordance with the Company’s standard internal capitalized development policy in accordance with IAS 38. All research costs are expensed when incurred.</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primarily consist of compensation and related costs for personnel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service, sales and sales support functions, as well as advertising and promotional expenditures.</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primarily consist of compensation and related costs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costs related to the Company’s facilities, finance, human resources, information technology, legal organizations and fees for professional services. Professional services are principally comprised of external legal, information technology consulting and outsourcing services that are not directly related to other operational expenses.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primarily consist of depreciation of fixed assets and amortization of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as well as depreciation and amortization of right of use assets and provision for impairment.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income</w:t>
      </w:r>
      <w:r>
        <w:rPr>
          <w:rFonts w:ascii="Arial" w:cs="Arial" w:eastAsia="Arial" w:hAnsi="Arial"/>
          <w:sz w:val="18"/>
          <w:szCs w:val="18"/>
          <w:color w:val="auto"/>
        </w:rPr>
        <w:t>. Financing income primarily consists of foreign currency gains and interest income.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Financing expense. </w:t>
      </w:r>
      <w:r>
        <w:rPr>
          <w:rFonts w:ascii="Arial" w:cs="Arial" w:eastAsia="Arial" w:hAnsi="Arial"/>
          <w:sz w:val="18"/>
          <w:szCs w:val="18"/>
          <w:color w:val="auto"/>
        </w:rPr>
        <w:t>Financing expense primarily includes exchange rate differences, interest and bank fees and other expenses.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includes gain on sale of business unit offset by a settlement agreement.</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 xml:space="preserve">Taxation. </w:t>
      </w:r>
      <w:r>
        <w:rPr>
          <w:rFonts w:ascii="Arial" w:cs="Arial" w:eastAsia="Arial" w:hAnsi="Arial"/>
          <w:sz w:val="18"/>
          <w:szCs w:val="18"/>
          <w:color w:val="auto"/>
        </w:rPr>
        <w:t>Taxation consists primarily of income taxes related to the jurisdictions in which we conduct business. Our effective tax rate is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by non-deductible expenses net of tax exempt income, utilization of tax losses from prior years for which deferred taxes is recognized, effect on deferred taxes at a rate different from the primary tax rate, effect of reduced tax rate on preferred income and differences in previous tax assessments. As of December 31, 2020, we do not have tax loss carry forwards for Israeli tax purposes.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our results of operations in U.S. dollars and as a percentage of revenue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 2019</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30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As reported</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i w:val="1"/>
                <w:iCs w:val="1"/>
                <w:color w:val="auto"/>
                <w:w w:val="95"/>
              </w:rPr>
              <w:t>As a % of</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As reported</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i w:val="1"/>
                <w:iCs w:val="1"/>
                <w:color w:val="auto"/>
                <w:w w:val="95"/>
              </w:rPr>
              <w:t>As a %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(in thousands, except for percentages)</w:t>
            </w:r>
          </w:p>
        </w:tc>
        <w:tc>
          <w:tcPr>
            <w:tcW w:w="1300" w:type="dxa"/>
            <w:vAlign w:val="bottom"/>
            <w:gridSpan w:val="4"/>
            <w:vMerge w:val="continue"/>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i w:val="1"/>
                <w:iCs w:val="1"/>
                <w:color w:val="auto"/>
                <w:w w:val="93"/>
              </w:rPr>
              <w:t>revenue</w:t>
            </w:r>
          </w:p>
        </w:tc>
        <w:tc>
          <w:tcPr>
            <w:tcW w:w="2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revenue</w:t>
            </w:r>
          </w:p>
        </w:tc>
        <w:tc>
          <w:tcPr>
            <w:tcW w:w="0" w:type="dxa"/>
            <w:vAlign w:val="bottom"/>
          </w:tcPr>
          <w:p>
            <w:pPr>
              <w:spacing w:after="0"/>
              <w:rPr>
                <w:sz w:val="1"/>
                <w:szCs w:val="1"/>
                <w:color w:val="auto"/>
              </w:rPr>
            </w:pPr>
          </w:p>
        </w:tc>
      </w:tr>
      <w:tr>
        <w:trPr>
          <w:trHeight w:val="142"/>
        </w:trPr>
        <w:tc>
          <w:tcPr>
            <w:tcW w:w="61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325,760</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9"/>
              </w:rPr>
              <w:t>211,920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5680" w:type="dxa"/>
            <w:vAlign w:val="bottom"/>
            <w:gridSpan w:val="2"/>
          </w:tcPr>
          <w:p>
            <w:pPr>
              <w:spacing w:after="0" w:line="201" w:lineRule="exact"/>
              <w:rPr>
                <w:sz w:val="20"/>
                <w:szCs w:val="20"/>
                <w:color w:val="auto"/>
              </w:rPr>
            </w:pPr>
            <w:r>
              <w:rPr>
                <w:rFonts w:ascii="Arial" w:cs="Arial" w:eastAsia="Arial" w:hAnsi="Arial"/>
                <w:sz w:val="18"/>
                <w:szCs w:val="18"/>
                <w:color w:val="auto"/>
              </w:rPr>
              <w:t>Cost of revenues (exclusive of depreciation and amortization shown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80" w:type="dxa"/>
            <w:vAlign w:val="bottom"/>
            <w:gridSpan w:val="2"/>
          </w:tcPr>
          <w:p>
            <w:pPr>
              <w:ind w:left="180"/>
              <w:spacing w:after="0"/>
              <w:rPr>
                <w:sz w:val="20"/>
                <w:szCs w:val="20"/>
                <w:color w:val="auto"/>
              </w:rPr>
            </w:pPr>
            <w:r>
              <w:rPr>
                <w:rFonts w:ascii="Arial" w:cs="Arial" w:eastAsia="Arial" w:hAnsi="Arial"/>
                <w:sz w:val="18"/>
                <w:szCs w:val="18"/>
                <w:color w:val="auto"/>
              </w:rPr>
              <w:t>separately below)</w:t>
            </w: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187,246</w:t>
            </w:r>
          </w:p>
        </w:tc>
        <w:tc>
          <w:tcPr>
            <w:tcW w:w="54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57.5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59,807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16,168</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13,260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52,351</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16.1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68,765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34,433</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29,678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32,359</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45,187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21.3</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0.6</w:t>
            </w: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Profit (loss) from operations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3,903</w:t>
            </w:r>
          </w:p>
        </w:tc>
        <w:tc>
          <w:tcPr>
            <w:tcW w:w="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(6,025)</w:t>
            </w:r>
          </w:p>
        </w:tc>
        <w:tc>
          <w:tcPr>
            <w:tcW w:w="580" w:type="dxa"/>
            <w:vAlign w:val="bottom"/>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(2.8)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(0.2)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Financing expenses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1,862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0.9</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6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Profit (loss) before taxes on income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3,588</w:t>
            </w:r>
          </w:p>
        </w:tc>
        <w:tc>
          <w:tcPr>
            <w:tcW w:w="5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rPr>
              <w:t>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(7,442)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2,636</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9,581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4.5</w:t>
            </w:r>
          </w:p>
        </w:tc>
        <w:tc>
          <w:tcPr>
            <w:tcW w:w="0" w:type="dxa"/>
            <w:vAlign w:val="bottom"/>
          </w:tcPr>
          <w:p>
            <w:pPr>
              <w:spacing w:after="0"/>
              <w:rPr>
                <w:sz w:val="1"/>
                <w:szCs w:val="1"/>
                <w:color w:val="auto"/>
              </w:rPr>
            </w:pPr>
          </w:p>
        </w:tc>
      </w:tr>
      <w:tr>
        <w:trPr>
          <w:trHeight w:val="223"/>
        </w:trPr>
        <w:tc>
          <w:tcPr>
            <w:tcW w:w="6120" w:type="dxa"/>
            <w:vAlign w:val="bottom"/>
            <w:gridSpan w:val="3"/>
          </w:tcPr>
          <w:p>
            <w:pPr>
              <w:ind w:left="440"/>
              <w:spacing w:after="0"/>
              <w:rPr>
                <w:sz w:val="20"/>
                <w:szCs w:val="20"/>
                <w:color w:val="auto"/>
              </w:rPr>
            </w:pPr>
            <w:r>
              <w:rPr>
                <w:rFonts w:ascii="Arial" w:cs="Arial" w:eastAsia="Arial" w:hAnsi="Arial"/>
                <w:sz w:val="18"/>
                <w:szCs w:val="18"/>
                <w:b w:val="1"/>
                <w:bCs w:val="1"/>
                <w:color w:val="auto"/>
              </w:rPr>
              <w:t>Profit for the year</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6,224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2,139</w:t>
            </w:r>
          </w:p>
        </w:tc>
        <w:tc>
          <w:tcPr>
            <w:tcW w:w="5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differences for foreign operation</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2,836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w:t>
            </w:r>
          </w:p>
        </w:tc>
        <w:tc>
          <w:tcPr>
            <w:tcW w:w="0" w:type="dxa"/>
            <w:vAlign w:val="bottom"/>
          </w:tcPr>
          <w:p>
            <w:pPr>
              <w:spacing w:after="0"/>
              <w:rPr>
                <w:sz w:val="1"/>
                <w:szCs w:val="1"/>
                <w:color w:val="auto"/>
              </w:rPr>
            </w:pPr>
          </w:p>
        </w:tc>
      </w:tr>
      <w:tr>
        <w:trPr>
          <w:trHeight w:val="223"/>
        </w:trPr>
        <w:tc>
          <w:tcPr>
            <w:tcW w:w="612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 comprehensive income for the year</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6,363</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4,975</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20" w:hanging="424"/>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 January 1, 2020, we recognize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Critical Accounting Policies, Judgments and Estimates—Revenue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for information regarding the revenue recognition presentation change.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80" w:type="dxa"/>
            <w:vAlign w:val="bottom"/>
          </w:tcPr>
          <w:p>
            <w:pPr>
              <w:jc w:val="center"/>
              <w:ind w:right="369"/>
              <w:spacing w:after="0" w:line="119" w:lineRule="exact"/>
              <w:rPr>
                <w:sz w:val="20"/>
                <w:szCs w:val="20"/>
                <w:color w:val="auto"/>
              </w:rPr>
            </w:pPr>
            <w:r>
              <w:rPr>
                <w:rFonts w:ascii="Arial" w:cs="Arial" w:eastAsia="Arial" w:hAnsi="Arial"/>
                <w:sz w:val="13"/>
                <w:szCs w:val="13"/>
                <w:b w:val="1"/>
                <w:bCs w:val="1"/>
                <w:color w:val="auto"/>
              </w:rPr>
              <w:t>2019</w:t>
            </w:r>
            <w:r>
              <w:rPr>
                <w:rFonts w:ascii="Arial" w:cs="Arial" w:eastAsia="Arial" w:hAnsi="Arial"/>
                <w:sz w:val="11"/>
                <w:szCs w:val="11"/>
                <w:b w:val="1"/>
                <w:bCs w:val="1"/>
                <w:color w:val="auto"/>
              </w:rPr>
              <w:t>(1)</w:t>
            </w:r>
          </w:p>
        </w:tc>
        <w:tc>
          <w:tcPr>
            <w:tcW w:w="1080" w:type="dxa"/>
            <w:vAlign w:val="bottom"/>
          </w:tcPr>
          <w:p>
            <w:pPr>
              <w:jc w:val="right"/>
              <w:ind w:right="184"/>
              <w:spacing w:after="0" w:line="119" w:lineRule="exact"/>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0"/>
                <w:szCs w:val="10"/>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5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(as reported)</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(as reported)</w:t>
            </w:r>
          </w:p>
        </w:tc>
        <w:tc>
          <w:tcPr>
            <w:tcW w:w="108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  325,760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211,920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$(113,840)</w:t>
            </w: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79"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Effective January 1, 2020, we recognize revenue on a net basis for the Programmatic activity, which had been recognized on a gross basis historically, including for the year ended December 31, 2019. If revenue for 2019 had been presented on a comparable basis to facilitate comparability, total revenue for the year ended December 31, 2019 would be $208,459 thousand. See “—</w:t>
      </w:r>
      <w:r>
        <w:rPr>
          <w:rFonts w:ascii="Arial" w:cs="Arial" w:eastAsia="Arial" w:hAnsi="Arial"/>
          <w:sz w:val="17"/>
          <w:szCs w:val="17"/>
          <w:i w:val="1"/>
          <w:iCs w:val="1"/>
          <w:color w:val="auto"/>
        </w:rPr>
        <w:t>Critical Accounting Policies, Judgments</w:t>
      </w:r>
      <w:r>
        <w:rPr>
          <w:rFonts w:ascii="Arial" w:cs="Arial" w:eastAsia="Arial" w:hAnsi="Arial"/>
          <w:sz w:val="17"/>
          <w:szCs w:val="17"/>
          <w:color w:val="auto"/>
        </w:rPr>
        <w:t xml:space="preserve"> </w:t>
      </w:r>
      <w:r>
        <w:rPr>
          <w:rFonts w:ascii="Arial" w:cs="Arial" w:eastAsia="Arial" w:hAnsi="Arial"/>
          <w:sz w:val="17"/>
          <w:szCs w:val="17"/>
          <w:i w:val="1"/>
          <w:iCs w:val="1"/>
          <w:color w:val="auto"/>
        </w:rPr>
        <w:t>and Estimates—Revenue Recognition</w:t>
      </w:r>
      <w:r>
        <w:rPr>
          <w:rFonts w:ascii="Arial" w:cs="Arial" w:eastAsia="Arial" w:hAnsi="Arial"/>
          <w:sz w:val="17"/>
          <w:szCs w:val="17"/>
          <w:color w:val="auto"/>
        </w:rPr>
        <w:t>” for information regarding the revenue recognition presentation change.</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Revenue decreased by $113.8 million, or 35%, to $211.9 million for the year ended December 31, 2020 from $325.8 million for the year ended December 31, 2019. The decrease is primarily because effective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January 1, 2020, we recognize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Critical Accounting Policies, Judgments and Estimates—Revenue Recognition</w:t>
      </w:r>
      <w:r>
        <w:rPr>
          <w:rFonts w:ascii="Arial" w:cs="Arial" w:eastAsia="Arial" w:hAnsi="Arial"/>
          <w:sz w:val="18"/>
          <w:szCs w:val="18"/>
          <w:color w:val="auto"/>
        </w:rPr>
        <w:t>” for information regarding the revenue recognition presentation change.</w:t>
      </w:r>
    </w:p>
    <w:p>
      <w:pPr>
        <w:spacing w:after="0" w:line="18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If revenue for 2019 had been presented on a comparable basis to facilitate comparability, our revenue would have increased by $3.5 million, or 2%, to $211.9 million for the year ended December 31, 2020 from $208.5 million for the year ended December 31, 2019. The increase was mainly attributable to the growth of $37.5 million in our Programmatic businesses, which include multiple integrated growth initiatives such as CTV, our self-serve platform and the Private MarketPlace solutions. CTV serves as a robust growth driver for our core businesses, supported by an increasing number of industry leading CTV partners. However, this is largely offset by the decline of $34 million in our Performance activities, due to our strategic shift away from the Performance activities.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breakdown of our revenue based on geographical location of customers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Revenue by region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ind w:left="480"/>
              <w:spacing w:after="0"/>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2019</w:t>
            </w:r>
            <w:r>
              <w:rPr>
                <w:rFonts w:ascii="Arial" w:cs="Arial" w:eastAsia="Arial" w:hAnsi="Arial"/>
                <w:sz w:val="11"/>
                <w:szCs w:val="11"/>
                <w:b w:val="1"/>
                <w:bCs w:val="1"/>
                <w:color w:val="auto"/>
              </w:rPr>
              <w:t>(1)</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0"/>
                <w:szCs w:val="10"/>
                <w:color w:val="auto"/>
              </w:rPr>
            </w:pPr>
          </w:p>
        </w:tc>
        <w:tc>
          <w:tcPr>
            <w:tcW w:w="94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(as reported)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9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America</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261,534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180,515</w:t>
            </w:r>
          </w:p>
        </w:tc>
        <w:tc>
          <w:tcPr>
            <w:tcW w:w="13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 (81,019)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APAC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33,052</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20,804</w:t>
            </w:r>
          </w:p>
        </w:tc>
        <w:tc>
          <w:tcPr>
            <w:tcW w:w="1360" w:type="dxa"/>
            <w:vAlign w:val="bottom"/>
            <w:gridSpan w:val="3"/>
          </w:tcPr>
          <w:p>
            <w:pPr>
              <w:jc w:val="right"/>
              <w:ind w:right="281"/>
              <w:spacing w:after="0"/>
              <w:rPr>
                <w:sz w:val="20"/>
                <w:szCs w:val="20"/>
                <w:color w:val="auto"/>
              </w:rPr>
            </w:pPr>
            <w:r>
              <w:rPr>
                <w:rFonts w:ascii="Arial" w:cs="Arial" w:eastAsia="Arial" w:hAnsi="Arial"/>
                <w:sz w:val="18"/>
                <w:szCs w:val="18"/>
                <w:color w:val="auto"/>
              </w:rPr>
              <w:t>(12,248)</w:t>
            </w:r>
          </w:p>
        </w:tc>
        <w:tc>
          <w:tcPr>
            <w:tcW w:w="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31,174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10,601</w:t>
            </w:r>
          </w:p>
        </w:tc>
        <w:tc>
          <w:tcPr>
            <w:tcW w:w="13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(20,573)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(66%)</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325,760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211,920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(113,840</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8"/>
                <w:szCs w:val="18"/>
                <w:b w:val="1"/>
                <w:bCs w:val="1"/>
                <w:color w:val="auto"/>
                <w:w w:val="99"/>
              </w:rPr>
              <w:t>(35%)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540" w:hanging="424"/>
        <w:spacing w:after="0" w:line="255"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 January 1, 2020, we recognize revenue on a net basis for the Programmatic activity, which had been recognized on a gross basis historically, including for the year ended December 31, 2019. If revenue for 2019 had been presented on a comparable basis to facilitate comparability, revenue generated from America for the year ended December 31, 2019 would be $148,283 thousand, revenue generated from APAC for the year ended December 31, 2019 would be $32,165 thousand and revenue generated from EMEA for the year ended December 31, 2019 would be $28,011 thousand. See “—</w:t>
      </w:r>
      <w:r>
        <w:rPr>
          <w:rFonts w:ascii="Arial" w:cs="Arial" w:eastAsia="Arial" w:hAnsi="Arial"/>
          <w:sz w:val="18"/>
          <w:szCs w:val="18"/>
          <w:i w:val="1"/>
          <w:iCs w:val="1"/>
          <w:color w:val="auto"/>
        </w:rPr>
        <w:t>Critical Accounting Policies, Judgments and Estimates—Revenue Recognition</w:t>
      </w:r>
      <w:r>
        <w:rPr>
          <w:rFonts w:ascii="Arial" w:cs="Arial" w:eastAsia="Arial" w:hAnsi="Arial"/>
          <w:sz w:val="18"/>
          <w:szCs w:val="18"/>
          <w:color w:val="auto"/>
        </w:rPr>
        <w:t>” for information regarding the revenue recognition presentation change.</w:t>
      </w:r>
    </w:p>
    <w:p>
      <w:pPr>
        <w:spacing w:after="0" w:line="192"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 xml:space="preserve">Revenue generated from America decreased by $81.0 million, or 31%, to $180.5 million for the year ended December 31, 2020 from $261.5 million for the year ended December 31, 2019. The decrease was primarily because effective January 1, 2020, we recognize revenue on a net basis for the Programmatic activity, which had been recognized on a gross basis historically, including for the year ended December 31, 2019. See “— </w:t>
      </w:r>
      <w:r>
        <w:rPr>
          <w:rFonts w:ascii="Arial" w:cs="Arial" w:eastAsia="Arial" w:hAnsi="Arial"/>
          <w:sz w:val="16"/>
          <w:szCs w:val="16"/>
          <w:i w:val="1"/>
          <w:iCs w:val="1"/>
          <w:color w:val="auto"/>
        </w:rPr>
        <w:t>Critical Accounting Policies, Judgments and Estimates—Revenue Recognition</w:t>
      </w:r>
      <w:r>
        <w:rPr>
          <w:rFonts w:ascii="Arial" w:cs="Arial" w:eastAsia="Arial" w:hAnsi="Arial"/>
          <w:sz w:val="16"/>
          <w:szCs w:val="16"/>
          <w:color w:val="auto"/>
        </w:rPr>
        <w:t>” for information regarding the revenue recognition presentation change.</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If revenue for 2019 had been presented on a comparable basis to facilitate comparability, our revenue generated from America would have increased by $32.2 million, or 22%, to $180.5 million for the year ended December 31, 2020 from $148.3 million for the year ended December 31, 2019. The increase was partially attributable to the overarching market trend of digital advertising, especially in the fastest growing areas where we have a strong focus, such as Video and CTV. The increase was also driven by the expedited ramp-up of our self-serve platform and services that are available to both our advertisers and publishers.</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Revenue generated from Asia Pacific decreased by $12.3 million, or 37%, to $20.8 million for the year ended December 31, 2020 from $33.1 million for the year ended December 31, 2019. If revenue for 2019 had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been presented on a comparable basis to facilitate comparability, our revenue generated from APAC would have decreased by $11.4 million, or 35%, to $20.8 million for the year ended December 31, 2020 from $32.2 million for the year ended December 31, 2019. The decrease was mainly due to our strategic shift away from the Performance activities, partially offset by the launch of our end-to-end technology offering enabled by the acquisition of Unruly in 2020.</w:t>
      </w:r>
    </w:p>
    <w:p>
      <w:pPr>
        <w:spacing w:after="0" w:line="18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Revenue generated from Europe, the Middle East and Africa decreased by $20.6 million, or 66%, to $10.6 million for the year ended December 31, 2020 from $31.2 million for the year ended December 31, 2019. If revenue for 2019 had been presented on a comparable basis to facilitate comparability, our revenue generated from EMEA would have decreased by $17.4 million, or 62%, to $10.6 million for the year ended December 31, 2020 from $28.0 million for the year ended December 31, 2019. The decrease was mainly due to our strategic shift away from the Performance activities, partially offset by the launch of our end-to-end technology offering enabled by the acquisition of Unruly in 2020.</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jc w:val="center"/>
              <w:ind w:right="389"/>
              <w:spacing w:after="0" w:line="119" w:lineRule="exact"/>
              <w:rPr>
                <w:sz w:val="20"/>
                <w:szCs w:val="20"/>
                <w:color w:val="auto"/>
              </w:rPr>
            </w:pPr>
            <w:r>
              <w:rPr>
                <w:rFonts w:ascii="Arial" w:cs="Arial" w:eastAsia="Arial" w:hAnsi="Arial"/>
                <w:sz w:val="13"/>
                <w:szCs w:val="13"/>
                <w:b w:val="1"/>
                <w:bCs w:val="1"/>
                <w:color w:val="auto"/>
              </w:rPr>
              <w:t>2019</w:t>
            </w:r>
            <w:r>
              <w:rPr>
                <w:rFonts w:ascii="Arial" w:cs="Arial" w:eastAsia="Arial" w:hAnsi="Arial"/>
                <w:sz w:val="11"/>
                <w:szCs w:val="11"/>
                <w:b w:val="1"/>
                <w:bCs w:val="1"/>
                <w:color w:val="auto"/>
              </w:rPr>
              <w:t>(1)</w:t>
            </w:r>
          </w:p>
        </w:tc>
        <w:tc>
          <w:tcPr>
            <w:tcW w:w="1100" w:type="dxa"/>
            <w:vAlign w:val="bottom"/>
          </w:tcPr>
          <w:p>
            <w:pPr>
              <w:jc w:val="right"/>
              <w:ind w:right="164"/>
              <w:spacing w:after="0" w:line="119" w:lineRule="exact"/>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0"/>
                <w:szCs w:val="10"/>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w:t>
            </w:r>
          </w:p>
        </w:tc>
        <w:tc>
          <w:tcPr>
            <w:tcW w:w="13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3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b w:val="1"/>
                <w:bCs w:val="1"/>
                <w:color w:val="auto"/>
              </w:rPr>
              <w:t>(as reported)</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(as reported)</w:t>
            </w:r>
          </w:p>
        </w:tc>
        <w:tc>
          <w:tcPr>
            <w:tcW w:w="114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8"/>
              </w:rPr>
              <w:t>Cost of revenues (Exclusive of Depreciation and Amortization)</w:t>
            </w:r>
          </w:p>
        </w:tc>
        <w:tc>
          <w:tcPr>
            <w:tcW w:w="140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  187,246</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59,807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$(127,439)</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5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January 1, 2020, we recognize revenue on a net basis for the Programmatic activity, which had been recognized on a gross basis historically, including for the year ended December 31, 2019. If revenue for 2019 had been presented on a comparable basis to facilitate comparability, cost of revenues (exclusive of depreciation and amortization) for the year ended December 31, 2019 would be $69,945 thousand. See “—</w:t>
      </w:r>
      <w:r>
        <w:rPr>
          <w:rFonts w:ascii="Arial" w:cs="Arial" w:eastAsia="Arial" w:hAnsi="Arial"/>
          <w:sz w:val="18"/>
          <w:szCs w:val="18"/>
          <w:i w:val="1"/>
          <w:iCs w:val="1"/>
          <w:color w:val="auto"/>
        </w:rPr>
        <w:t>Critical Accounting Policies, Judgments and Estimates—Revenue Recognition</w:t>
      </w:r>
      <w:r>
        <w:rPr>
          <w:rFonts w:ascii="Arial" w:cs="Arial" w:eastAsia="Arial" w:hAnsi="Arial"/>
          <w:sz w:val="18"/>
          <w:szCs w:val="18"/>
          <w:color w:val="auto"/>
        </w:rPr>
        <w:t>” for information regarding the revenue recognition presentation change.</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Cost of revenues (exclusive of depreciation and amortization) decreased by $127.4 million, or 68%, to $59.8 million for the year ended December 31, 2020 from $187.2 million for the year ended December 31, 2019. This is primarily because effective January 1, 2020, we recognize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Critical Accounting Policies, Judgments and Estimates—Revenue Recognition</w:t>
      </w:r>
      <w:r>
        <w:rPr>
          <w:rFonts w:ascii="Arial" w:cs="Arial" w:eastAsia="Arial" w:hAnsi="Arial"/>
          <w:sz w:val="18"/>
          <w:szCs w:val="18"/>
          <w:color w:val="auto"/>
        </w:rPr>
        <w:t>” for information regarding the revenue recognition presentation change.</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revenue for 2019 had been presented on a comparable basis to facilitate comparability, our cost of revenue (exclusive of depreciation and amortization) would have decreased by $10.1 million, or 14%, to $59.8 million for the year ended December 31, 2020 from $69.9 million for the year ended December 31, 2019. This decrease was primarily driven by lowered costs due to our strategic shift away from the Performance activities, partially offset by the greater usage of hosting and data services in our core business.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4"/>
                <w:szCs w:val="14"/>
                <w:color w:val="auto"/>
              </w:rPr>
            </w:pPr>
          </w:p>
        </w:tc>
        <w:tc>
          <w:tcPr>
            <w:tcW w:w="156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Borders>
              <w:top w:val="single" w:sz="8" w:color="auto"/>
            </w:tcBorders>
          </w:tcPr>
          <w:p>
            <w:pPr>
              <w:jc w:val="right"/>
              <w:ind w:right="509"/>
              <w:spacing w:after="0" w:line="119" w:lineRule="exact"/>
              <w:rPr>
                <w:sz w:val="20"/>
                <w:szCs w:val="20"/>
                <w:color w:val="auto"/>
              </w:rPr>
            </w:pPr>
            <w:r>
              <w:rPr>
                <w:rFonts w:ascii="Arial" w:cs="Arial" w:eastAsia="Arial" w:hAnsi="Arial"/>
                <w:sz w:val="13"/>
                <w:szCs w:val="13"/>
                <w:b w:val="1"/>
                <w:bCs w:val="1"/>
                <w:color w:val="auto"/>
              </w:rPr>
              <w:t>2019</w:t>
            </w:r>
          </w:p>
        </w:tc>
        <w:tc>
          <w:tcPr>
            <w:tcW w:w="1120" w:type="dxa"/>
            <w:vAlign w:val="bottom"/>
            <w:tcBorders>
              <w:top w:val="single" w:sz="8" w:color="auto"/>
            </w:tcBorders>
          </w:tcPr>
          <w:p>
            <w:pPr>
              <w:jc w:val="right"/>
              <w:ind w:right="184"/>
              <w:spacing w:after="0" w:line="119" w:lineRule="exact"/>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vMerge w:val="restart"/>
          </w:tcPr>
          <w:p>
            <w:pPr>
              <w:jc w:val="right"/>
              <w:ind w:right="20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3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rPr>
              <w:t>(as reported)</w:t>
            </w:r>
          </w:p>
        </w:tc>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(as reported)</w:t>
            </w:r>
          </w:p>
        </w:tc>
        <w:tc>
          <w:tcPr>
            <w:tcW w:w="6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  16,168</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  13,260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$(2,908)</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4"/>
                <w:szCs w:val="24"/>
                <w:color w:val="auto"/>
              </w:rPr>
            </w:pPr>
          </w:p>
        </w:tc>
        <w:tc>
          <w:tcPr>
            <w:tcW w:w="2460" w:type="dxa"/>
            <w:vAlign w:val="bottom"/>
            <w:gridSpan w:val="2"/>
          </w:tcPr>
          <w:p>
            <w:pPr>
              <w:ind w:left="1340"/>
              <w:spacing w:after="0"/>
              <w:rPr>
                <w:sz w:val="20"/>
                <w:szCs w:val="20"/>
                <w:color w:val="auto"/>
              </w:rPr>
            </w:pPr>
            <w:r>
              <w:rPr>
                <w:rFonts w:ascii="Arial" w:cs="Arial" w:eastAsia="Arial" w:hAnsi="Arial"/>
                <w:sz w:val="18"/>
                <w:szCs w:val="18"/>
                <w:color w:val="auto"/>
              </w:rPr>
              <w:t>65</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Research and development expenses decreased by $2.9 million, or 18.0%, to $13.3 million for the year ended December 31, 2020, compared to $16.2 million for the year ended December 31, 2019. This decrease was primarily the result of decreases in (i) wages and salaries of $1.7 million attributable to the efficiencies and consolidation of our research and development efforts, (ii) the expense for research and development and engineering tools and services of $1.1 million and (iii) capitalized costs of $0.1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Selling and marketing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0" w:type="dxa"/>
            <w:vAlign w:val="bottom"/>
          </w:tcPr>
          <w:p>
            <w:pPr>
              <w:jc w:val="right"/>
              <w:ind w:right="190"/>
              <w:spacing w:after="0" w:line="119" w:lineRule="exact"/>
              <w:rPr>
                <w:sz w:val="20"/>
                <w:szCs w:val="20"/>
                <w:color w:val="auto"/>
              </w:rPr>
            </w:pPr>
            <w:r>
              <w:rPr>
                <w:rFonts w:ascii="Arial" w:cs="Arial" w:eastAsia="Arial" w:hAnsi="Arial"/>
                <w:sz w:val="13"/>
                <w:szCs w:val="13"/>
                <w:b w:val="1"/>
                <w:bCs w:val="1"/>
                <w:color w:val="auto"/>
              </w:rPr>
              <w:t>2019</w:t>
            </w:r>
          </w:p>
        </w:tc>
        <w:tc>
          <w:tcPr>
            <w:tcW w:w="1520" w:type="dxa"/>
            <w:vAlign w:val="bottom"/>
          </w:tcPr>
          <w:p>
            <w:pPr>
              <w:jc w:val="right"/>
              <w:ind w:right="165"/>
              <w:spacing w:after="0" w:line="119" w:lineRule="exact"/>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0"/>
                <w:szCs w:val="10"/>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5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91"/>
              </w:rPr>
              <w:t>(as reported)</w:t>
            </w:r>
          </w:p>
        </w:tc>
        <w:tc>
          <w:tcPr>
            <w:tcW w:w="1900" w:type="dxa"/>
            <w:vAlign w:val="bottom"/>
            <w:gridSpan w:val="2"/>
          </w:tcPr>
          <w:p>
            <w:pPr>
              <w:ind w:left="740"/>
              <w:spacing w:after="0"/>
              <w:rPr>
                <w:sz w:val="20"/>
                <w:szCs w:val="20"/>
                <w:color w:val="auto"/>
              </w:rPr>
            </w:pPr>
            <w:r>
              <w:rPr>
                <w:rFonts w:ascii="Arial" w:cs="Arial" w:eastAsia="Arial" w:hAnsi="Arial"/>
                <w:sz w:val="14"/>
                <w:szCs w:val="14"/>
                <w:b w:val="1"/>
                <w:bCs w:val="1"/>
                <w:color w:val="auto"/>
              </w:rPr>
              <w:t>(as reported)</w:t>
            </w:r>
          </w:p>
        </w:tc>
        <w:tc>
          <w:tcPr>
            <w:tcW w:w="98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52,351</w:t>
            </w:r>
          </w:p>
        </w:tc>
        <w:tc>
          <w:tcPr>
            <w:tcW w:w="1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68,765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$16,414</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Selling and marketing expenses increased by $16.4 million, or 31.4%, to $68.8 million for the year ended December 31, 2020 from $52.3 million for the year ended December 31, 2019. This increase was driven by (i) the wages, salaries and share-based payments of $13.9 million related to the Unruly acquisition, (ii) the share-based payment program of $3.3 million for our business managers and (iii) the salary increase of $1.3 million as a result of our business growth, which was partially offset by a decrease in marketing and other costs of $2.1 million driven by the efficiency improvements during the COVID-19 pandemic.</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4"/>
                <w:szCs w:val="14"/>
                <w:color w:val="auto"/>
              </w:rPr>
            </w:pPr>
          </w:p>
        </w:tc>
        <w:tc>
          <w:tcPr>
            <w:tcW w:w="17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jc w:val="right"/>
              <w:ind w:right="509"/>
              <w:spacing w:after="0" w:line="119" w:lineRule="exact"/>
              <w:rPr>
                <w:sz w:val="20"/>
                <w:szCs w:val="20"/>
                <w:color w:val="auto"/>
              </w:rPr>
            </w:pPr>
            <w:r>
              <w:rPr>
                <w:rFonts w:ascii="Arial" w:cs="Arial" w:eastAsia="Arial" w:hAnsi="Arial"/>
                <w:sz w:val="13"/>
                <w:szCs w:val="13"/>
                <w:b w:val="1"/>
                <w:bCs w:val="1"/>
                <w:color w:val="auto"/>
              </w:rPr>
              <w:t>2019</w:t>
            </w:r>
          </w:p>
        </w:tc>
        <w:tc>
          <w:tcPr>
            <w:tcW w:w="1120" w:type="dxa"/>
            <w:vAlign w:val="bottom"/>
          </w:tcPr>
          <w:p>
            <w:pPr>
              <w:jc w:val="right"/>
              <w:ind w:right="184"/>
              <w:spacing w:after="0" w:line="119" w:lineRule="exact"/>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0"/>
                <w:szCs w:val="10"/>
                <w:color w:val="auto"/>
              </w:rPr>
            </w:pPr>
          </w:p>
        </w:tc>
        <w:tc>
          <w:tcPr>
            <w:tcW w:w="116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6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rPr>
              <w:t>(as reported)</w:t>
            </w: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(as reported)</w:t>
            </w:r>
          </w:p>
        </w:tc>
        <w:tc>
          <w:tcPr>
            <w:tcW w:w="11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  34,433</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29,678</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$(4,755)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General and administrative expenses decreased by $4.8 million, or 13.8%, to $29.7 million for the year ended December 31, 2020 from $34.4 million for the year ended December 31, 2019. This decrease was primarily driven by the decrease in wages, salaries and share-based payments of $1.5 million, as well as the recovery in 2019 of $4.1 million doubtful debts provision as a result of higher collection rates. This was partially offset by the increase in professional services and acquisition costs of $1.2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0" w:type="dxa"/>
            <w:vAlign w:val="bottom"/>
          </w:tcPr>
          <w:p>
            <w:pPr>
              <w:jc w:val="right"/>
              <w:ind w:right="190"/>
              <w:spacing w:after="0" w:line="119" w:lineRule="exact"/>
              <w:rPr>
                <w:sz w:val="20"/>
                <w:szCs w:val="20"/>
                <w:color w:val="auto"/>
              </w:rPr>
            </w:pPr>
            <w:r>
              <w:rPr>
                <w:rFonts w:ascii="Arial" w:cs="Arial" w:eastAsia="Arial" w:hAnsi="Arial"/>
                <w:sz w:val="13"/>
                <w:szCs w:val="13"/>
                <w:b w:val="1"/>
                <w:bCs w:val="1"/>
                <w:color w:val="auto"/>
              </w:rPr>
              <w:t>2019</w:t>
            </w:r>
          </w:p>
        </w:tc>
        <w:tc>
          <w:tcPr>
            <w:tcW w:w="1520" w:type="dxa"/>
            <w:vAlign w:val="bottom"/>
          </w:tcPr>
          <w:p>
            <w:pPr>
              <w:jc w:val="right"/>
              <w:ind w:right="165"/>
              <w:spacing w:after="0" w:line="119" w:lineRule="exact"/>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0"/>
                <w:szCs w:val="10"/>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5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91"/>
              </w:rPr>
              <w:t>(as reported)</w:t>
            </w:r>
          </w:p>
        </w:tc>
        <w:tc>
          <w:tcPr>
            <w:tcW w:w="1900" w:type="dxa"/>
            <w:vAlign w:val="bottom"/>
            <w:gridSpan w:val="2"/>
          </w:tcPr>
          <w:p>
            <w:pPr>
              <w:ind w:left="740"/>
              <w:spacing w:after="0"/>
              <w:rPr>
                <w:sz w:val="20"/>
                <w:szCs w:val="20"/>
                <w:color w:val="auto"/>
              </w:rPr>
            </w:pPr>
            <w:r>
              <w:rPr>
                <w:rFonts w:ascii="Arial" w:cs="Arial" w:eastAsia="Arial" w:hAnsi="Arial"/>
                <w:sz w:val="14"/>
                <w:szCs w:val="14"/>
                <w:b w:val="1"/>
                <w:bCs w:val="1"/>
                <w:color w:val="auto"/>
              </w:rPr>
              <w:t>(as reported)</w:t>
            </w:r>
          </w:p>
        </w:tc>
        <w:tc>
          <w:tcPr>
            <w:tcW w:w="98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32,359</w:t>
            </w:r>
          </w:p>
        </w:tc>
        <w:tc>
          <w:tcPr>
            <w:tcW w:w="1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45,187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$12,828</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Depreciation and amortization increased by $12.8 million, or 39.6%, to $45.2 million for the year ended December 31, 2020 from $32.4 million for the year ended December 31, 2019. This increase was primarily driven by an increase of (i) $7.5 million in amortization of the brand and domain name, customer relations and technology as a result of the acquisition of Unruly at the beginning of 2020, and (ii) $5.1 million in further amortization of the brand and domain name, customer relations and technology as a result of the acquisition of RhythmOne in the second quarter of 2019.</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financial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center"/>
              <w:ind w:left="380"/>
              <w:spacing w:after="0"/>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380"/>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80"/>
              <w:spacing w:after="0" w:line="119"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2020</w:t>
            </w:r>
          </w:p>
        </w:tc>
        <w:tc>
          <w:tcPr>
            <w:tcW w:w="720" w:type="dxa"/>
            <w:vAlign w:val="bottom"/>
          </w:tcPr>
          <w:p>
            <w:pPr>
              <w:spacing w:after="0"/>
              <w:rPr>
                <w:sz w:val="10"/>
                <w:szCs w:val="10"/>
                <w:color w:val="auto"/>
              </w:rPr>
            </w:pPr>
          </w:p>
        </w:tc>
        <w:tc>
          <w:tcPr>
            <w:tcW w:w="5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1280" w:type="dxa"/>
            <w:vAlign w:val="bottom"/>
            <w:gridSpan w:val="2"/>
            <w:vMerge w:val="restart"/>
          </w:tcPr>
          <w:p>
            <w:pPr>
              <w:jc w:val="center"/>
              <w:ind w:left="4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3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  328</w:t>
            </w:r>
          </w:p>
        </w:tc>
        <w:tc>
          <w:tcPr>
            <w:tcW w:w="1280" w:type="dxa"/>
            <w:vAlign w:val="bottom"/>
            <w:gridSpan w:val="2"/>
            <w:shd w:val="clear" w:color="auto" w:fill="CCEEFF"/>
          </w:tcPr>
          <w:p>
            <w:pPr>
              <w:jc w:val="center"/>
              <w:ind w:left="477"/>
              <w:spacing w:after="0"/>
              <w:rPr>
                <w:sz w:val="20"/>
                <w:szCs w:val="20"/>
                <w:color w:val="auto"/>
              </w:rPr>
            </w:pPr>
            <w:r>
              <w:rPr>
                <w:rFonts w:ascii="Arial" w:cs="Arial" w:eastAsia="Arial" w:hAnsi="Arial"/>
                <w:sz w:val="18"/>
                <w:szCs w:val="18"/>
                <w:color w:val="auto"/>
                <w:w w:val="88"/>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Financial expenses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1,088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1,862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774</w:t>
            </w:r>
          </w:p>
        </w:tc>
        <w:tc>
          <w:tcPr>
            <w:tcW w:w="1280" w:type="dxa"/>
            <w:vAlign w:val="bottom"/>
            <w:gridSpan w:val="2"/>
          </w:tcPr>
          <w:p>
            <w:pPr>
              <w:jc w:val="center"/>
              <w:ind w:left="477"/>
              <w:spacing w:after="0"/>
              <w:rPr>
                <w:sz w:val="20"/>
                <w:szCs w:val="20"/>
                <w:color w:val="auto"/>
              </w:rPr>
            </w:pPr>
            <w:r>
              <w:rPr>
                <w:rFonts w:ascii="Arial" w:cs="Arial" w:eastAsia="Arial" w:hAnsi="Arial"/>
                <w:sz w:val="18"/>
                <w:szCs w:val="18"/>
                <w:color w:val="auto"/>
                <w:w w:val="88"/>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expenses, net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315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1,417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$1,102</w:t>
            </w:r>
          </w:p>
        </w:tc>
        <w:tc>
          <w:tcPr>
            <w:tcW w:w="1280" w:type="dxa"/>
            <w:vAlign w:val="bottom"/>
            <w:gridSpan w:val="2"/>
            <w:shd w:val="clear" w:color="auto" w:fill="CCEEFF"/>
          </w:tcPr>
          <w:p>
            <w:pPr>
              <w:jc w:val="center"/>
              <w:ind w:left="477"/>
              <w:spacing w:after="0"/>
              <w:rPr>
                <w:sz w:val="20"/>
                <w:szCs w:val="20"/>
                <w:color w:val="auto"/>
              </w:rPr>
            </w:pPr>
            <w:r>
              <w:rPr>
                <w:rFonts w:ascii="Arial" w:cs="Arial" w:eastAsia="Arial" w:hAnsi="Arial"/>
                <w:sz w:val="18"/>
                <w:szCs w:val="18"/>
                <w:b w:val="1"/>
                <w:bCs w:val="1"/>
                <w:color w:val="auto"/>
                <w:w w:val="95"/>
              </w:rPr>
              <w:t>350%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Net financial expenses increased by $1.1 million, or 350%, to $1.4 million for the year ended December 31, 2020 from $0.3 million for the year ended December 31, 2019, primarily resulting from (i) the increase in the interest on ad spend liability of $2 million, (ii) the finance expenses of $0.7 million related to lease liabilities, (iii) bank fees of $0.2 million and (iv) currency exchange fluctuations of $0.4 million. This was partially offset by the income from derivative instruments of $2.2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 benefit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left="385"/>
              <w:spacing w:after="0"/>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385"/>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right"/>
              <w:ind w:right="545"/>
              <w:spacing w:after="0" w:line="119" w:lineRule="exact"/>
              <w:rPr>
                <w:sz w:val="20"/>
                <w:szCs w:val="20"/>
                <w:color w:val="auto"/>
              </w:rPr>
            </w:pPr>
            <w:r>
              <w:rPr>
                <w:rFonts w:ascii="Arial" w:cs="Arial" w:eastAsia="Arial" w:hAnsi="Arial"/>
                <w:sz w:val="13"/>
                <w:szCs w:val="13"/>
                <w:b w:val="1"/>
                <w:bCs w:val="1"/>
                <w:color w:val="auto"/>
              </w:rPr>
              <w:t>2019</w:t>
            </w:r>
          </w:p>
        </w:tc>
        <w:tc>
          <w:tcPr>
            <w:tcW w:w="520" w:type="dxa"/>
            <w:vAlign w:val="bottom"/>
          </w:tcPr>
          <w:p>
            <w:pPr>
              <w:spacing w:after="0"/>
              <w:rPr>
                <w:sz w:val="10"/>
                <w:szCs w:val="10"/>
                <w:color w:val="auto"/>
              </w:rPr>
            </w:pPr>
          </w:p>
        </w:tc>
        <w:tc>
          <w:tcPr>
            <w:tcW w:w="64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2020</w:t>
            </w:r>
          </w:p>
        </w:tc>
        <w:tc>
          <w:tcPr>
            <w:tcW w:w="700" w:type="dxa"/>
            <w:vAlign w:val="bottom"/>
          </w:tcPr>
          <w:p>
            <w:pPr>
              <w:spacing w:after="0"/>
              <w:rPr>
                <w:sz w:val="10"/>
                <w:szCs w:val="10"/>
                <w:color w:val="auto"/>
              </w:rPr>
            </w:pPr>
          </w:p>
        </w:tc>
        <w:tc>
          <w:tcPr>
            <w:tcW w:w="5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(as reported)</w:t>
            </w:r>
          </w:p>
        </w:tc>
        <w:tc>
          <w:tcPr>
            <w:tcW w:w="1860" w:type="dxa"/>
            <w:vAlign w:val="bottom"/>
            <w:gridSpan w:val="3"/>
          </w:tcPr>
          <w:p>
            <w:pPr>
              <w:ind w:left="360"/>
              <w:spacing w:after="0"/>
              <w:rPr>
                <w:sz w:val="20"/>
                <w:szCs w:val="20"/>
                <w:color w:val="auto"/>
              </w:rPr>
            </w:pPr>
            <w:r>
              <w:rPr>
                <w:rFonts w:ascii="Arial" w:cs="Arial" w:eastAsia="Arial" w:hAnsi="Arial"/>
                <w:sz w:val="14"/>
                <w:szCs w:val="14"/>
                <w:b w:val="1"/>
                <w:bCs w:val="1"/>
                <w:color w:val="auto"/>
              </w:rPr>
              <w:t>(as reported)</w:t>
            </w:r>
          </w:p>
        </w:tc>
        <w:tc>
          <w:tcPr>
            <w:tcW w:w="5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85"/>
              <w:spacing w:after="0"/>
              <w:rPr>
                <w:sz w:val="20"/>
                <w:szCs w:val="20"/>
                <w:color w:val="auto"/>
              </w:rPr>
            </w:pPr>
            <w:r>
              <w:rPr>
                <w:rFonts w:ascii="Arial" w:cs="Arial" w:eastAsia="Arial" w:hAnsi="Arial"/>
                <w:sz w:val="18"/>
                <w:szCs w:val="18"/>
                <w:color w:val="auto"/>
              </w:rPr>
              <w:t>2,636</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9,581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$6,945</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Tax benefit increased by $6.9 million to $9.6 million for the year ended December 31, 2020 from $2.6 million for the year ended December 31, 2019, attributable to an increase in current tax benefit of $1.5 million and an increase in deferred tax of $5.4 million, mainly relating to (i) intangible assets and research and development expenses of $1 million, (ii) carry-forward losses of $3 million, (iii) accrued expenses and deferred revenue of $5.0 million, and partially offset by (iv) employee compensation of $1.4 million and (v) doubtful debt provision of $2.2 million.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Profit for the year</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84"/>
              <w:spacing w:after="0" w:line="119" w:lineRule="exact"/>
              <w:rPr>
                <w:sz w:val="20"/>
                <w:szCs w:val="20"/>
                <w:color w:val="auto"/>
              </w:rPr>
            </w:pPr>
            <w:r>
              <w:rPr>
                <w:rFonts w:ascii="Arial" w:cs="Arial" w:eastAsia="Arial" w:hAnsi="Arial"/>
                <w:sz w:val="13"/>
                <w:szCs w:val="13"/>
                <w:b w:val="1"/>
                <w:bCs w:val="1"/>
                <w:color w:val="auto"/>
              </w:rPr>
              <w:t>2019</w:t>
            </w: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3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1"/>
              </w:rPr>
              <w:t>(as reported)</w:t>
            </w:r>
          </w:p>
        </w:tc>
        <w:tc>
          <w:tcPr>
            <w:tcW w:w="7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$(4,085)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Profit for the year decreased by $4.1 million to $2.1 million for the year ended December 31, 2020 from $6.2 million for the year ended December 31, 2019, attributable to an increase in operational expenses of $23.5 million (mainly due to the increase of $16.4 million in selling and marketing expenses) and an increase in financing expenses, net of $1.1 million, offset by an increase of $13.6 million in revenue after subtracting cost of revenues (exclusive of depreciation and amortization) and tax benefits of $6.9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Total comprehensive income for the year</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2019</w:t>
            </w:r>
            <w:r>
              <w:rPr>
                <w:rFonts w:ascii="Arial" w:cs="Arial" w:eastAsia="Arial" w:hAnsi="Arial"/>
                <w:sz w:val="11"/>
                <w:szCs w:val="11"/>
                <w:b w:val="1"/>
                <w:bCs w:val="1"/>
                <w:color w:val="auto"/>
              </w:rPr>
              <w:t>(1)</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for the year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6,363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4,975</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$(1,388)</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profit margin</w:t>
            </w:r>
          </w:p>
        </w:tc>
        <w:tc>
          <w:tcPr>
            <w:tcW w:w="120" w:type="dxa"/>
            <w:vAlign w:val="bottom"/>
          </w:tcPr>
          <w:p>
            <w:pPr>
              <w:spacing w:after="0"/>
              <w:rPr>
                <w:sz w:val="20"/>
                <w:szCs w:val="20"/>
                <w:color w:val="auto"/>
              </w:rPr>
            </w:pPr>
          </w:p>
        </w:tc>
        <w:tc>
          <w:tcPr>
            <w:tcW w:w="1440" w:type="dxa"/>
            <w:vAlign w:val="bottom"/>
            <w:gridSpan w:val="2"/>
          </w:tcPr>
          <w:p>
            <w:pPr>
              <w:jc w:val="right"/>
              <w:ind w:right="548"/>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78"/>
              <w:spacing w:after="0"/>
              <w:rPr>
                <w:sz w:val="20"/>
                <w:szCs w:val="20"/>
                <w:color w:val="auto"/>
              </w:rPr>
            </w:pPr>
            <w:r>
              <w:rPr>
                <w:rFonts w:ascii="Arial" w:cs="Arial" w:eastAsia="Arial" w:hAnsi="Arial"/>
                <w:sz w:val="18"/>
                <w:szCs w:val="18"/>
                <w:color w:val="auto"/>
              </w:rPr>
              <w:t>67</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540" w:right="20" w:hanging="424"/>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 January 1, 2020, we recognize revenue on a net basis for the Programmatic activity, which had been recognized on a gross basis historically, including for the year ended December 31, 2019. If revenue for 2019 had been presented on a comparable basis to facilitate comparability, net profit margin for the year ended December 31, 2019 would be 3%. See “—</w:t>
      </w:r>
      <w:r>
        <w:rPr>
          <w:rFonts w:ascii="Arial" w:cs="Arial" w:eastAsia="Arial" w:hAnsi="Arial"/>
          <w:sz w:val="18"/>
          <w:szCs w:val="18"/>
          <w:i w:val="1"/>
          <w:iCs w:val="1"/>
          <w:color w:val="auto"/>
        </w:rPr>
        <w:t>Critical Accounting Policies, Judgments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Estimates—Revenue Recognition</w:t>
      </w:r>
      <w:r>
        <w:rPr>
          <w:rFonts w:ascii="Arial" w:cs="Arial" w:eastAsia="Arial" w:hAnsi="Arial"/>
          <w:sz w:val="18"/>
          <w:szCs w:val="18"/>
          <w:color w:val="auto"/>
        </w:rPr>
        <w:t>” for information regarding the revenue recognition presentation change.</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Total comprehensive income for the year (net profit) decreased by $1.4 million to $5.0 million for the year ended December 31, 2020 from $6.4 million for the year ended December 31, 2019, attributable to the decrease in the profit for the year of $4.1 million, offset by the increase in foreign currency translation differences for foreign operation income of $2.7 million due to Unruly acquisition.</w:t>
      </w:r>
    </w:p>
    <w:p>
      <w:pPr>
        <w:spacing w:after="0" w:line="3"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Net profit margin was stable at 2% of gross revenue for each of the years ended December 31, 2020 and 2019. If revenue for 2019 had been presented on a comparable basis to facilitate comparability, our net profit margin would have decreased by 1%, to 2% for the year ended December 31, 2020 from 3% for the year ended December 31, 2019. This decrease primarily resulted from a decrease in total comprehensive income of 22% while revenues, as presented on a comparable basis, remained relatively stable.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 and Other Operating Metrics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review the following indicators to measure our performance, identify trends affecting our business, formulate business plans, and make strategic decisions. Increases or decreases in our key performance indicators may not correspond with increases or decreases in our revenue. In this section, we use the following terms: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Programmatic”</w:t>
      </w:r>
      <w:r>
        <w:rPr>
          <w:rFonts w:ascii="Arial" w:cs="Arial" w:eastAsia="Arial" w:hAnsi="Arial"/>
          <w:sz w:val="18"/>
          <w:szCs w:val="18"/>
          <w:color w:val="auto"/>
        </w:rPr>
        <w:t xml:space="preserve"> means our end-to-end platform of programmatic advertising, which uses software and algorithms to match buyers and sellers of digital advertising in a technology-driven marketplace; transactions in our Programmatic activities are executed in milliseconds and beginning in 2020, human intervention or discretion for execution has significantly decreased.</w:t>
      </w:r>
    </w:p>
    <w:p>
      <w:pPr>
        <w:spacing w:after="0" w:line="184"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w:t>
      </w:r>
      <w:r>
        <w:rPr>
          <w:rFonts w:ascii="Arial" w:cs="Arial" w:eastAsia="Arial" w:hAnsi="Arial"/>
          <w:sz w:val="16"/>
          <w:szCs w:val="16"/>
          <w:color w:val="auto"/>
        </w:rPr>
        <w:t xml:space="preserve"> means our non-core performance activities consisting primarily of mobile-based solutions that help brands reach their users; revenue generated in the Performance activities is contingent on the occurrence of performance-based metrics, such as app downloads and installations.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summarize the key performance indicators that we use to evaluate our business for the years ended December 31,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Programmatic and Performance Revenue by Media Type and Device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summarizes the Programmatic and Performance net revenue by selected media type and device for the years ended December 31,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Yearly net revenue matrix</w:t>
            </w:r>
          </w:p>
        </w:tc>
        <w:tc>
          <w:tcPr>
            <w:tcW w:w="3540" w:type="dxa"/>
            <w:vAlign w:val="bottom"/>
            <w:gridSpan w:val="2"/>
          </w:tcPr>
          <w:p>
            <w:pPr>
              <w:jc w:val="center"/>
              <w:ind w:left="2456"/>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48"/>
        </w:trPr>
        <w:tc>
          <w:tcPr>
            <w:tcW w:w="1520" w:type="dxa"/>
            <w:vAlign w:val="bottom"/>
            <w:tcBorders>
              <w:bottom w:val="single" w:sz="8" w:color="auto"/>
            </w:tcBorders>
            <w:vMerge w:val="continue"/>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Programmatic</w:t>
            </w:r>
          </w:p>
        </w:tc>
        <w:tc>
          <w:tcPr>
            <w:tcW w:w="220" w:type="dxa"/>
            <w:vAlign w:val="bottom"/>
          </w:tcPr>
          <w:p>
            <w:pPr>
              <w:spacing w:after="0"/>
              <w:rPr>
                <w:sz w:val="12"/>
                <w:szCs w:val="12"/>
                <w:color w:val="auto"/>
              </w:rPr>
            </w:pPr>
          </w:p>
        </w:tc>
        <w:tc>
          <w:tcPr>
            <w:tcW w:w="88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95"/>
              </w:rPr>
              <w:t>Performance</w:t>
            </w:r>
          </w:p>
        </w:tc>
        <w:tc>
          <w:tcPr>
            <w:tcW w:w="100" w:type="dxa"/>
            <w:vAlign w:val="bottom"/>
          </w:tcPr>
          <w:p>
            <w:pPr>
              <w:spacing w:after="0"/>
              <w:rPr>
                <w:sz w:val="12"/>
                <w:szCs w:val="12"/>
                <w:color w:val="auto"/>
              </w:rPr>
            </w:pPr>
          </w:p>
        </w:tc>
        <w:tc>
          <w:tcPr>
            <w:tcW w:w="76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Group</w:t>
            </w:r>
          </w:p>
        </w:tc>
        <w:tc>
          <w:tcPr>
            <w:tcW w:w="980" w:type="dxa"/>
            <w:vAlign w:val="bottom"/>
          </w:tcPr>
          <w:p>
            <w:pPr>
              <w:spacing w:after="0"/>
              <w:rPr>
                <w:sz w:val="12"/>
                <w:szCs w:val="12"/>
                <w:color w:val="auto"/>
              </w:rPr>
            </w:pPr>
          </w:p>
        </w:tc>
        <w:tc>
          <w:tcPr>
            <w:tcW w:w="10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9"/>
              </w:rPr>
              <w:t>Programmatic</w:t>
            </w:r>
          </w:p>
        </w:tc>
        <w:tc>
          <w:tcPr>
            <w:tcW w:w="200" w:type="dxa"/>
            <w:vAlign w:val="bottom"/>
          </w:tcPr>
          <w:p>
            <w:pPr>
              <w:spacing w:after="0"/>
              <w:rPr>
                <w:sz w:val="12"/>
                <w:szCs w:val="12"/>
                <w:color w:val="auto"/>
              </w:rPr>
            </w:pPr>
          </w:p>
        </w:tc>
        <w:tc>
          <w:tcPr>
            <w:tcW w:w="9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8"/>
              </w:rPr>
              <w:t>Performance</w:t>
            </w:r>
          </w:p>
        </w:tc>
        <w:tc>
          <w:tcPr>
            <w:tcW w:w="100" w:type="dxa"/>
            <w:vAlign w:val="bottom"/>
          </w:tcPr>
          <w:p>
            <w:pPr>
              <w:spacing w:after="0"/>
              <w:rPr>
                <w:sz w:val="12"/>
                <w:szCs w:val="12"/>
                <w:color w:val="auto"/>
              </w:rPr>
            </w:pPr>
          </w:p>
        </w:tc>
        <w:tc>
          <w:tcPr>
            <w:tcW w:w="7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Video</w:t>
            </w:r>
            <w:r>
              <w:rPr>
                <w:rFonts w:ascii="Arial" w:cs="Arial" w:eastAsia="Arial" w:hAnsi="Arial"/>
                <w:sz w:val="15"/>
                <w:szCs w:val="15"/>
                <w:b w:val="1"/>
                <w:bCs w:val="1"/>
                <w:color w:val="auto"/>
              </w:rPr>
              <w:t>(1)</w:t>
            </w:r>
          </w:p>
        </w:tc>
        <w:tc>
          <w:tcPr>
            <w:tcW w:w="2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0"/>
              </w:rPr>
              <w:t>$109,636</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79"/>
              </w:rPr>
              <w:t>$0</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0"/>
              </w:rPr>
              <w:t>$109,636</w:t>
            </w:r>
          </w:p>
        </w:tc>
        <w:tc>
          <w:tcPr>
            <w:tcW w:w="9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7"/>
              </w:rPr>
              <w:t>$143,390</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9"/>
              </w:rPr>
              <w:t>$0</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7"/>
              </w:rPr>
              <w:t>$143,390</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b w:val="1"/>
                <w:bCs w:val="1"/>
                <w:color w:val="auto"/>
              </w:rPr>
              <w:t>Display</w:t>
            </w:r>
          </w:p>
        </w:tc>
        <w:tc>
          <w:tcPr>
            <w:tcW w:w="3540" w:type="dxa"/>
            <w:vAlign w:val="bottom"/>
            <w:gridSpan w:val="2"/>
          </w:tcPr>
          <w:p>
            <w:pPr>
              <w:jc w:val="center"/>
              <w:ind w:left="2456"/>
              <w:spacing w:after="0"/>
              <w:rPr>
                <w:sz w:val="20"/>
                <w:szCs w:val="20"/>
                <w:color w:val="auto"/>
              </w:rPr>
            </w:pPr>
            <w:r>
              <w:rPr>
                <w:rFonts w:ascii="Arial" w:cs="Arial" w:eastAsia="Arial" w:hAnsi="Arial"/>
                <w:sz w:val="18"/>
                <w:szCs w:val="18"/>
                <w:b w:val="1"/>
                <w:bCs w:val="1"/>
                <w:color w:val="auto"/>
                <w:w w:val="92"/>
              </w:rPr>
              <w:t>$14,527</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$39,875</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$54,402</w:t>
            </w:r>
          </w:p>
        </w:tc>
        <w:tc>
          <w:tcPr>
            <w:tcW w:w="9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$18,235</w:t>
            </w:r>
          </w:p>
        </w:tc>
        <w:tc>
          <w:tcPr>
            <w:tcW w:w="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$22,658</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$40,892</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Group</w:t>
            </w:r>
          </w:p>
        </w:tc>
        <w:tc>
          <w:tcPr>
            <w:tcW w:w="3540" w:type="dxa"/>
            <w:vAlign w:val="bottom"/>
            <w:gridSpan w:val="2"/>
            <w:shd w:val="clear" w:color="auto" w:fill="CCEEFF"/>
          </w:tcPr>
          <w:p>
            <w:pPr>
              <w:jc w:val="center"/>
              <w:ind w:left="2456"/>
              <w:spacing w:after="0"/>
              <w:rPr>
                <w:sz w:val="20"/>
                <w:szCs w:val="20"/>
                <w:color w:val="auto"/>
              </w:rPr>
            </w:pPr>
            <w:r>
              <w:rPr>
                <w:rFonts w:ascii="Arial" w:cs="Arial" w:eastAsia="Arial" w:hAnsi="Arial"/>
                <w:sz w:val="18"/>
                <w:szCs w:val="18"/>
                <w:b w:val="1"/>
                <w:bCs w:val="1"/>
                <w:color w:val="auto"/>
                <w:w w:val="90"/>
              </w:rPr>
              <w:t>$124,163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$39,875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$164,038</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$161,624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$22,658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$184,282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CTV net revenue as a percentage of Video net revenue was approximately 13% for the year ended December 31, 2019 and approximately 26% for the year ended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Selected Device – CTV</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Year Ended</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10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8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210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0"/>
                <w:szCs w:val="10"/>
                <w:color w:val="auto"/>
              </w:rPr>
            </w:pPr>
          </w:p>
        </w:tc>
        <w:tc>
          <w:tcPr>
            <w:tcW w:w="13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Programmatic</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As</w:t>
            </w:r>
          </w:p>
        </w:tc>
        <w:tc>
          <w:tcPr>
            <w:tcW w:w="400" w:type="dxa"/>
            <w:vAlign w:val="bottom"/>
          </w:tcPr>
          <w:p>
            <w:pPr>
              <w:spacing w:after="0"/>
              <w:rPr>
                <w:sz w:val="10"/>
                <w:szCs w:val="10"/>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12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2020 vs. 2019</w:t>
            </w:r>
          </w:p>
        </w:tc>
        <w:tc>
          <w:tcPr>
            <w:tcW w:w="86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8"/>
              </w:rPr>
              <w:t>2020 vs. 2019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media cost</w:t>
            </w:r>
            <w:r>
              <w:rPr>
                <w:rFonts w:ascii="Arial" w:cs="Arial" w:eastAsia="Arial" w:hAnsi="Arial"/>
                <w:sz w:val="12"/>
                <w:szCs w:val="12"/>
                <w:b w:val="1"/>
                <w:bCs w:val="1"/>
                <w:color w:val="auto"/>
              </w:rPr>
              <w:t>(1)</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adjusted - net</w:t>
            </w:r>
          </w:p>
        </w:tc>
        <w:tc>
          <w:tcPr>
            <w:tcW w:w="1260" w:type="dxa"/>
            <w:vAlign w:val="bottom"/>
            <w:gridSpan w:val="2"/>
            <w:vMerge w:val="continue"/>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adjusted - net</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(in thousands)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$35,074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(21,108)</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13,966</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36,820</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5%</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of Programmatic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840" w:type="dxa"/>
            <w:vAlign w:val="bottom"/>
          </w:tcPr>
          <w:p>
            <w:pPr>
              <w:jc w:val="right"/>
              <w:ind w:right="102"/>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0"/>
                <w:szCs w:val="20"/>
                <w:color w:val="auto"/>
              </w:rPr>
            </w:pP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hanging="424"/>
        <w:spacing w:after="0" w:line="275"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Effective January 1, 2020, we recognize revenue on a net basis for the Programmatic activity, which had been recognized on a gross basis historically, including for the year ended December 31, 2019. In order to facilitate comparability of our results of operations, we excluded Programmatic media cost for 2019 to present 2019 revenue on a comparable basis. Programmatic media cost represents costs of acquiring publishers’ advertising space that is purchased by advertisers via our Programmatic end-to-end solution. See “—</w:t>
      </w:r>
      <w:r>
        <w:rPr>
          <w:rFonts w:ascii="Arial" w:cs="Arial" w:eastAsia="Arial" w:hAnsi="Arial"/>
          <w:sz w:val="17"/>
          <w:szCs w:val="17"/>
          <w:i w:val="1"/>
          <w:iCs w:val="1"/>
          <w:color w:val="auto"/>
        </w:rPr>
        <w:t>Critical Accounting Policies,</w:t>
      </w:r>
      <w:r>
        <w:rPr>
          <w:rFonts w:ascii="Arial" w:cs="Arial" w:eastAsia="Arial" w:hAnsi="Arial"/>
          <w:sz w:val="17"/>
          <w:szCs w:val="17"/>
          <w:color w:val="auto"/>
        </w:rPr>
        <w:t xml:space="preserve"> </w:t>
      </w:r>
      <w:r>
        <w:rPr>
          <w:rFonts w:ascii="Arial" w:cs="Arial" w:eastAsia="Arial" w:hAnsi="Arial"/>
          <w:sz w:val="17"/>
          <w:szCs w:val="17"/>
          <w:i w:val="1"/>
          <w:iCs w:val="1"/>
          <w:color w:val="auto"/>
        </w:rPr>
        <w:t>Judgments and Estimates—Revenue Recognition</w:t>
      </w:r>
      <w:r>
        <w:rPr>
          <w:rFonts w:ascii="Arial" w:cs="Arial" w:eastAsia="Arial" w:hAnsi="Arial"/>
          <w:sz w:val="17"/>
          <w:szCs w:val="17"/>
          <w:color w:val="auto"/>
        </w:rPr>
        <w:t>” for information regarding the revenue recognition presentation change.</w:t>
      </w:r>
    </w:p>
    <w:p>
      <w:pPr>
        <w:spacing w:after="0" w:line="176"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CTV revenue increased by $1.7 million, or 5%, to $36.8 million for the year ended December 31, 2020 from $35.1 million for the year ended December 31, 2019. If revenue for 2019 had been presented on a comparable basis to facilitate comparability, our CTV revenue would have increased by $22.9 million, or 164%, to $36.8 million for the year ended December 31, 2020 from $14.0 million for the year ended December 31, 2019. The increase was mainly attributable to the increase in our CTV partners’ utilization of our end-to-end platform.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Selected Media Type – Video</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Programmatic</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As</w:t>
            </w:r>
          </w:p>
        </w:tc>
        <w:tc>
          <w:tcPr>
            <w:tcW w:w="4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2020 vs. 2019</w:t>
            </w: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2020 vs. 2019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adjusted - net</w:t>
            </w: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Net</w:t>
            </w:r>
          </w:p>
        </w:tc>
        <w:tc>
          <w:tcPr>
            <w:tcW w:w="1240" w:type="dxa"/>
            <w:vAlign w:val="bottom"/>
            <w:gridSpan w:val="2"/>
            <w:vMerge w:val="continue"/>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adjusted - net</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media cost</w:t>
            </w:r>
            <w:r>
              <w:rPr>
                <w:rFonts w:ascii="Arial" w:cs="Arial" w:eastAsia="Arial" w:hAnsi="Arial"/>
                <w:sz w:val="12"/>
                <w:szCs w:val="12"/>
                <w:b w:val="1"/>
                <w:bCs w:val="1"/>
                <w:color w:val="auto"/>
                <w:w w:val="91"/>
              </w:rPr>
              <w:t>(1)</w:t>
            </w:r>
          </w:p>
        </w:tc>
        <w:tc>
          <w:tcPr>
            <w:tcW w:w="1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(non-IFRS)</w:t>
            </w:r>
          </w:p>
        </w:tc>
        <w:tc>
          <w:tcPr>
            <w:tcW w:w="1280" w:type="dxa"/>
            <w:vAlign w:val="bottom"/>
            <w:gridSpan w:val="2"/>
            <w:vMerge w:val="continue"/>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gross</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(non-IFRS)</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(in thousands)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$191,604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   (81,968)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109,636</w:t>
            </w: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143,390</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8"/>
                <w:szCs w:val="18"/>
                <w:color w:val="auto"/>
              </w:rPr>
              <w:t>(25%)</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rPr>
              <w:t>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 of Programmatic revenue</w:t>
            </w:r>
          </w:p>
        </w:tc>
        <w:tc>
          <w:tcPr>
            <w:tcW w:w="700" w:type="dxa"/>
            <w:vAlign w:val="bottom"/>
          </w:tcPr>
          <w:p>
            <w:pPr>
              <w:jc w:val="right"/>
              <w:ind w:right="56"/>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5"/>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20"/>
                <w:szCs w:val="20"/>
                <w:color w:val="auto"/>
              </w:rPr>
            </w:pPr>
          </w:p>
        </w:tc>
        <w:tc>
          <w:tcPr>
            <w:tcW w:w="840" w:type="dxa"/>
            <w:vAlign w:val="bottom"/>
          </w:tcPr>
          <w:p>
            <w:pPr>
              <w:jc w:val="right"/>
              <w:ind w:right="122"/>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0"/>
                <w:szCs w:val="20"/>
                <w:color w:val="auto"/>
              </w:rPr>
            </w:pP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hanging="424"/>
        <w:spacing w:after="0" w:line="275"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Effective January 1, 2020, we recognize revenue on a net basis for the Programmatic activity, which had been recognized on a gross basis historically, including for the year ended December 31, 2019. In order to facilitate comparability of our results of operations, we excluded Programmatic media cost for 2019 to present 2019 revenue on a comparable basis. Programmatic media cost represents costs of acquiring publishers’ advertising space that is purchased by advertisers via our Programmatic end-to-end solution. See “—</w:t>
      </w:r>
      <w:r>
        <w:rPr>
          <w:rFonts w:ascii="Arial" w:cs="Arial" w:eastAsia="Arial" w:hAnsi="Arial"/>
          <w:sz w:val="17"/>
          <w:szCs w:val="17"/>
          <w:i w:val="1"/>
          <w:iCs w:val="1"/>
          <w:color w:val="auto"/>
        </w:rPr>
        <w:t>Critical Accounting Policies,</w:t>
      </w:r>
      <w:r>
        <w:rPr>
          <w:rFonts w:ascii="Arial" w:cs="Arial" w:eastAsia="Arial" w:hAnsi="Arial"/>
          <w:sz w:val="17"/>
          <w:szCs w:val="17"/>
          <w:color w:val="auto"/>
        </w:rPr>
        <w:t xml:space="preserve"> </w:t>
      </w:r>
      <w:r>
        <w:rPr>
          <w:rFonts w:ascii="Arial" w:cs="Arial" w:eastAsia="Arial" w:hAnsi="Arial"/>
          <w:sz w:val="17"/>
          <w:szCs w:val="17"/>
          <w:i w:val="1"/>
          <w:iCs w:val="1"/>
          <w:color w:val="auto"/>
        </w:rPr>
        <w:t>Judgments and Estimates—Revenue Recognition</w:t>
      </w:r>
      <w:r>
        <w:rPr>
          <w:rFonts w:ascii="Arial" w:cs="Arial" w:eastAsia="Arial" w:hAnsi="Arial"/>
          <w:sz w:val="17"/>
          <w:szCs w:val="17"/>
          <w:color w:val="auto"/>
        </w:rPr>
        <w:t>” for information regarding the revenue recognition presentation change.</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Video revenue decreased by $48.2 million, or 25%, to $143.4 million for the year ended December 31, 2020 from $191.6 million for the year ended December 31, 2019. The decrease is primarily because effective January 1, 2020, we recognize revenue on a net basis for the Programmatic activity, which had been recognized on a gross basis historically, including for the year ended December 31, 2019.</w:t>
      </w:r>
    </w:p>
    <w:p>
      <w:pPr>
        <w:spacing w:after="0" w:line="18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If revenue for 2019 had been presented on a comparable basis to facilitate comparability, our Video revenue would have increased by $33.6 million, or 31%, to $143.4 million for the year ended December 31, 2020 from $109.6 million for the year ended December 31, 2019. The increase was mainly attributable to the increased spending on our DSP platform driven by our strong expertise in digital video advertising.</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Key Financial Metrics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7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5"/>
              </w:rPr>
              <w:t>2019</w:t>
            </w:r>
            <w:r>
              <w:rPr>
                <w:rFonts w:ascii="Arial" w:cs="Arial" w:eastAsia="Arial" w:hAnsi="Arial"/>
                <w:sz w:val="12"/>
                <w:szCs w:val="12"/>
                <w:b w:val="1"/>
                <w:bCs w:val="1"/>
                <w:color w:val="auto"/>
                <w:w w:val="95"/>
              </w:rPr>
              <w:t>(1)</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IFRS measures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Revenue (in thousands)</w:t>
            </w:r>
            <w:r>
              <w:rPr>
                <w:rFonts w:ascii="Arial" w:cs="Arial" w:eastAsia="Arial" w:hAnsi="Arial"/>
                <w:sz w:val="15"/>
                <w:szCs w:val="15"/>
                <w:color w:val="auto"/>
              </w:rPr>
              <w:t>(2)</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325,760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211,920</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4,975</w:t>
            </w: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Net profit margin</w:t>
            </w:r>
            <w:r>
              <w:rPr>
                <w:rFonts w:ascii="Arial" w:cs="Arial" w:eastAsia="Arial" w:hAnsi="Arial"/>
                <w:sz w:val="15"/>
                <w:szCs w:val="15"/>
                <w:color w:val="auto"/>
              </w:rPr>
              <w:t>(3)</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Non-IFRS measures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Net revenue (in thousands)</w:t>
            </w:r>
            <w:r>
              <w:rPr>
                <w:rFonts w:ascii="Arial" w:cs="Arial" w:eastAsia="Arial" w:hAnsi="Arial"/>
                <w:sz w:val="15"/>
                <w:szCs w:val="15"/>
                <w:color w:val="auto"/>
              </w:rPr>
              <w:t>(4)</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164,038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184,282</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(5)</w:t>
            </w:r>
            <w:r>
              <w:rPr>
                <w:rFonts w:ascii="Arial" w:cs="Arial" w:eastAsia="Arial" w:hAnsi="Arial"/>
                <w:sz w:val="18"/>
                <w:szCs w:val="18"/>
                <w:color w:val="auto"/>
              </w:rPr>
              <w:t xml:space="preserve"> (in thousands)</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60,411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60,513</w:t>
            </w: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(5)</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right="20" w:hanging="424"/>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 January 1, 2020, we recognize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Critical Accounting Policies, Judgments and Estimates—Revenue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for information regarding the revenue recognition presentation change.</w:t>
      </w:r>
    </w:p>
    <w:p>
      <w:pPr>
        <w:spacing w:after="0" w:line="2"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revenue for 2019 had been presented on a comparable basis to facilitate comparability, total revenue for the year ended December 31, 2019 would be $208,459 thousand.</w:t>
      </w:r>
    </w:p>
    <w:p>
      <w:pPr>
        <w:ind w:left="54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revenue for 2019 had been presented on a comparable basis to facilitate comparability, net profit margin for the year ended December 31, 2019 would be 3%</w:t>
      </w:r>
    </w:p>
    <w:p>
      <w:pPr>
        <w:jc w:val="both"/>
        <w:ind w:left="540" w:right="20" w:hanging="424"/>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revenue is defined as our revenue calculated on a net basis by excluding the media cost for both Programmatic and Performance activities. Net revenue is a non-IFRS financial metric. See “</w:t>
      </w:r>
      <w:r>
        <w:rPr>
          <w:rFonts w:ascii="Arial" w:cs="Arial" w:eastAsia="Arial" w:hAnsi="Arial"/>
          <w:sz w:val="18"/>
          <w:szCs w:val="18"/>
          <w:i w:val="1"/>
          <w:iCs w:val="1"/>
          <w:color w:val="auto"/>
        </w:rPr>
        <w:t>Prospectus Summary—Summary Consolidated Financial and Other Data</w:t>
      </w:r>
      <w:r>
        <w:rPr>
          <w:rFonts w:ascii="Arial" w:cs="Arial" w:eastAsia="Arial" w:hAnsi="Arial"/>
          <w:sz w:val="18"/>
          <w:szCs w:val="18"/>
          <w:color w:val="auto"/>
        </w:rPr>
        <w:t>” for information regarding the limitations of using Net revenue as a financial measure.</w:t>
      </w:r>
    </w:p>
    <w:p>
      <w:pPr>
        <w:spacing w:after="0" w:line="18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following table reconciles Net revenue to the most directly comparable IFRS financial performance measure, which is Revenue: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Pr>
          <w:p>
            <w:pPr>
              <w:spacing w:after="0"/>
              <w:rPr>
                <w:sz w:val="12"/>
                <w:szCs w:val="12"/>
                <w:color w:val="auto"/>
              </w:rPr>
            </w:pPr>
          </w:p>
        </w:tc>
        <w:tc>
          <w:tcPr>
            <w:tcW w:w="74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 Revenues (as reported)</w:t>
            </w:r>
            <w:r>
              <w:rPr>
                <w:rFonts w:ascii="Arial" w:cs="Arial" w:eastAsia="Arial" w:hAnsi="Arial"/>
                <w:sz w:val="15"/>
                <w:szCs w:val="15"/>
                <w:b w:val="1"/>
                <w:bCs w:val="1"/>
                <w:color w:val="auto"/>
              </w:rPr>
              <w:t>(a)</w:t>
            </w:r>
          </w:p>
        </w:tc>
        <w:tc>
          <w:tcPr>
            <w:tcW w:w="2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Programmatic</w:t>
            </w:r>
          </w:p>
        </w:tc>
        <w:tc>
          <w:tcPr>
            <w:tcW w:w="3460" w:type="dxa"/>
            <w:vAlign w:val="bottom"/>
            <w:gridSpan w:val="3"/>
          </w:tcPr>
          <w:p>
            <w:pPr>
              <w:jc w:val="right"/>
              <w:ind w:right="340"/>
              <w:spacing w:after="0"/>
              <w:rPr>
                <w:sz w:val="20"/>
                <w:szCs w:val="20"/>
                <w:color w:val="auto"/>
              </w:rPr>
            </w:pPr>
            <w:r>
              <w:rPr>
                <w:rFonts w:ascii="Arial" w:cs="Arial" w:eastAsia="Arial" w:hAnsi="Arial"/>
                <w:sz w:val="18"/>
                <w:szCs w:val="18"/>
                <w:color w:val="auto"/>
              </w:rPr>
              <w:t>$ 241,464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$161,625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w:t>
            </w:r>
          </w:p>
        </w:tc>
        <w:tc>
          <w:tcPr>
            <w:tcW w:w="3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84,296</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50,295</w:t>
            </w:r>
          </w:p>
        </w:tc>
        <w:tc>
          <w:tcPr>
            <w:tcW w:w="0" w:type="dxa"/>
            <w:vAlign w:val="bottom"/>
          </w:tcPr>
          <w:p>
            <w:pPr>
              <w:spacing w:after="0"/>
              <w:rPr>
                <w:sz w:val="1"/>
                <w:szCs w:val="1"/>
                <w:color w:val="auto"/>
              </w:rPr>
            </w:pPr>
          </w:p>
        </w:tc>
      </w:t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325,760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(ii) Programmatic media cost</w:t>
            </w:r>
            <w:r>
              <w:rPr>
                <w:rFonts w:ascii="Arial" w:cs="Arial" w:eastAsia="Arial" w:hAnsi="Arial"/>
                <w:sz w:val="15"/>
                <w:szCs w:val="15"/>
                <w:b w:val="1"/>
                <w:bCs w:val="1"/>
                <w:color w:val="auto"/>
              </w:rPr>
              <w:t>(b)</w:t>
            </w:r>
          </w:p>
        </w:tc>
        <w:tc>
          <w:tcPr>
            <w:tcW w:w="2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Programmatic</w:t>
            </w:r>
          </w:p>
        </w:tc>
        <w:tc>
          <w:tcPr>
            <w:tcW w:w="3460" w:type="dxa"/>
            <w:vAlign w:val="bottom"/>
            <w:gridSpan w:val="3"/>
          </w:tcPr>
          <w:p>
            <w:pPr>
              <w:jc w:val="right"/>
              <w:ind w:right="280"/>
              <w:spacing w:after="0"/>
              <w:rPr>
                <w:sz w:val="20"/>
                <w:szCs w:val="20"/>
                <w:color w:val="auto"/>
              </w:rPr>
            </w:pPr>
            <w:r>
              <w:rPr>
                <w:rFonts w:ascii="Arial" w:cs="Arial" w:eastAsia="Arial" w:hAnsi="Arial"/>
                <w:sz w:val="18"/>
                <w:szCs w:val="18"/>
                <w:color w:val="auto"/>
              </w:rPr>
              <w:t>(117,301)</w:t>
            </w: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w:t>
            </w:r>
          </w:p>
        </w:tc>
        <w:tc>
          <w:tcPr>
            <w:tcW w:w="2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0"/>
                <w:szCs w:val="20"/>
                <w:color w:val="auto"/>
              </w:rPr>
            </w:pPr>
            <w:r>
              <w:rPr>
                <w:rFonts w:ascii="Arial" w:cs="Arial" w:eastAsia="Arial" w:hAnsi="Arial"/>
                <w:sz w:val="18"/>
                <w:szCs w:val="18"/>
                <w:b w:val="1"/>
                <w:bCs w:val="1"/>
                <w:color w:val="auto"/>
                <w:w w:val="95"/>
              </w:rPr>
              <w:t>(iii) = (i) + (ii) Revenues on comparable basis</w:t>
            </w:r>
            <w:r>
              <w:rPr>
                <w:rFonts w:ascii="Arial" w:cs="Arial" w:eastAsia="Arial" w:hAnsi="Arial"/>
                <w:sz w:val="15"/>
                <w:szCs w:val="15"/>
                <w:b w:val="1"/>
                <w:bCs w:val="1"/>
                <w:color w:val="auto"/>
                <w:w w:val="95"/>
              </w:rPr>
              <w:t>(c)</w:t>
            </w: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Programmatic</w:t>
            </w:r>
          </w:p>
        </w:tc>
        <w:tc>
          <w:tcPr>
            <w:tcW w:w="3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124,163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161,625</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Performance</w:t>
            </w:r>
          </w:p>
        </w:tc>
        <w:tc>
          <w:tcPr>
            <w:tcW w:w="2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84,296</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50,295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208,459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211,920</w:t>
            </w: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0"/>
                <w:szCs w:val="20"/>
                <w:color w:val="auto"/>
              </w:rPr>
            </w:pPr>
            <w:r>
              <w:rPr>
                <w:rFonts w:ascii="Arial" w:cs="Arial" w:eastAsia="Arial" w:hAnsi="Arial"/>
                <w:sz w:val="18"/>
                <w:szCs w:val="18"/>
                <w:b w:val="1"/>
                <w:bCs w:val="1"/>
                <w:color w:val="auto"/>
              </w:rPr>
              <w:t>(iv) Performance media cost</w:t>
            </w:r>
            <w:r>
              <w:rPr>
                <w:rFonts w:ascii="Arial" w:cs="Arial" w:eastAsia="Arial" w:hAnsi="Arial"/>
                <w:sz w:val="15"/>
                <w:szCs w:val="15"/>
                <w:b w:val="1"/>
                <w:bCs w:val="1"/>
                <w:color w:val="auto"/>
              </w:rPr>
              <w:t>(d)</w:t>
            </w: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Programmatic</w:t>
            </w:r>
          </w:p>
        </w:tc>
        <w:tc>
          <w:tcPr>
            <w:tcW w:w="2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Performance</w:t>
            </w:r>
          </w:p>
        </w:tc>
        <w:tc>
          <w:tcPr>
            <w:tcW w:w="3460" w:type="dxa"/>
            <w:vAlign w:val="bottom"/>
            <w:gridSpan w:val="3"/>
          </w:tcPr>
          <w:p>
            <w:pPr>
              <w:jc w:val="right"/>
              <w:ind w:right="280"/>
              <w:spacing w:after="0"/>
              <w:rPr>
                <w:sz w:val="20"/>
                <w:szCs w:val="20"/>
                <w:color w:val="auto"/>
              </w:rPr>
            </w:pPr>
            <w:r>
              <w:rPr>
                <w:rFonts w:ascii="Arial" w:cs="Arial" w:eastAsia="Arial" w:hAnsi="Arial"/>
                <w:sz w:val="18"/>
                <w:szCs w:val="18"/>
                <w:color w:val="auto"/>
              </w:rPr>
              <w:t>(44,421)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(27,637)</w:t>
            </w:r>
          </w:p>
        </w:tc>
        <w:tc>
          <w:tcPr>
            <w:tcW w:w="0" w:type="dxa"/>
            <w:vAlign w:val="bottom"/>
          </w:tcPr>
          <w:p>
            <w:pPr>
              <w:spacing w:after="0"/>
              <w:rPr>
                <w:sz w:val="1"/>
                <w:szCs w:val="1"/>
                <w:color w:val="auto"/>
              </w:rPr>
            </w:pPr>
          </w:p>
        </w:tc>
      </w:tr>
      <w:tr>
        <w:trPr>
          <w:trHeight w:val="350"/>
        </w:trPr>
        <w:tc>
          <w:tcPr>
            <w:tcW w:w="3840" w:type="dxa"/>
            <w:vAlign w:val="bottom"/>
          </w:tcPr>
          <w:p>
            <w:pPr>
              <w:spacing w:after="0"/>
              <w:rPr>
                <w:sz w:val="24"/>
                <w:szCs w:val="24"/>
                <w:color w:val="auto"/>
              </w:rPr>
            </w:pPr>
          </w:p>
        </w:tc>
        <w:tc>
          <w:tcPr>
            <w:tcW w:w="2380" w:type="dxa"/>
            <w:vAlign w:val="bottom"/>
          </w:tcPr>
          <w:p>
            <w:pPr>
              <w:jc w:val="right"/>
              <w:ind w:right="1850"/>
              <w:spacing w:after="0"/>
              <w:rPr>
                <w:sz w:val="20"/>
                <w:szCs w:val="20"/>
                <w:color w:val="auto"/>
              </w:rPr>
            </w:pPr>
            <w:r>
              <w:rPr>
                <w:rFonts w:ascii="Arial" w:cs="Arial" w:eastAsia="Arial" w:hAnsi="Arial"/>
                <w:sz w:val="18"/>
                <w:szCs w:val="18"/>
                <w:color w:val="auto"/>
              </w:rPr>
              <w:t>70</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 = (iii) + (iv) Net Revenues</w:t>
            </w:r>
            <w:r>
              <w:rPr>
                <w:rFonts w:ascii="Arial" w:cs="Arial" w:eastAsia="Arial" w:hAnsi="Arial"/>
                <w:sz w:val="15"/>
                <w:szCs w:val="15"/>
                <w:b w:val="1"/>
                <w:bCs w:val="1"/>
                <w:color w:val="auto"/>
              </w:rPr>
              <w:t>(e)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Programmatic</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124,163</w:t>
            </w:r>
          </w:p>
        </w:tc>
        <w:tc>
          <w:tcPr>
            <w:tcW w:w="2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161,625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w:t>
            </w:r>
          </w:p>
        </w:tc>
        <w:tc>
          <w:tcPr>
            <w:tcW w:w="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39,875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22,657</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164,038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$ 184,282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1080" w:hanging="532"/>
        <w:spacing w:after="0" w:line="255"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For the year ended December 31, 2019, our audited revenue consists of (i) Programmatic revenue that is recognized on a gross basis (which includes the Programmatic media cost as defined below) and (ii) Performance revenue that is recognized on a gross basis (which includes the Performance media cost as defined below).</w:t>
      </w:r>
    </w:p>
    <w:p>
      <w:pPr>
        <w:spacing w:after="0" w:line="2" w:lineRule="exact"/>
        <w:rPr>
          <w:rFonts w:ascii="Arial" w:cs="Arial" w:eastAsia="Arial" w:hAnsi="Arial"/>
          <w:sz w:val="18"/>
          <w:szCs w:val="18"/>
          <w:color w:val="auto"/>
        </w:rPr>
      </w:pPr>
    </w:p>
    <w:p>
      <w:pPr>
        <w:ind w:left="1080"/>
        <w:spacing w:after="0" w:line="265" w:lineRule="auto"/>
        <w:rPr>
          <w:rFonts w:ascii="Arial" w:cs="Arial" w:eastAsia="Arial" w:hAnsi="Arial"/>
          <w:sz w:val="18"/>
          <w:szCs w:val="18"/>
          <w:color w:val="auto"/>
        </w:rPr>
      </w:pPr>
      <w:r>
        <w:rPr>
          <w:rFonts w:ascii="Arial" w:cs="Arial" w:eastAsia="Arial" w:hAnsi="Arial"/>
          <w:sz w:val="17"/>
          <w:szCs w:val="17"/>
          <w:color w:val="auto"/>
        </w:rPr>
        <w:t>For the year ended December 31, 2020, our audited revenue consists of (i) Programmatic revenue that is recognized on a net basis (which excludes the Programmatic media cost as defined below) and (ii) Performance revenue that is recognized on a gross basis.</w:t>
      </w:r>
    </w:p>
    <w:p>
      <w:pPr>
        <w:ind w:left="1080"/>
        <w:spacing w:after="0" w:line="250" w:lineRule="auto"/>
        <w:rPr>
          <w:rFonts w:ascii="Arial" w:cs="Arial" w:eastAsia="Arial" w:hAnsi="Arial"/>
          <w:sz w:val="18"/>
          <w:szCs w:val="18"/>
          <w:color w:val="auto"/>
        </w:rPr>
      </w:pPr>
      <w:r>
        <w:rPr>
          <w:rFonts w:ascii="Arial" w:cs="Arial" w:eastAsia="Arial" w:hAnsi="Arial"/>
          <w:sz w:val="18"/>
          <w:szCs w:val="18"/>
          <w:color w:val="auto"/>
        </w:rPr>
        <w:t>For information regarding the revenue recognition presentation change of our Programmatic revenue, see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Judgments and Estimates—Revenue Recognition</w:t>
      </w:r>
      <w:r>
        <w:rPr>
          <w:rFonts w:ascii="Arial" w:cs="Arial" w:eastAsia="Arial" w:hAnsi="Arial"/>
          <w:sz w:val="18"/>
          <w:szCs w:val="18"/>
          <w:color w:val="auto"/>
        </w:rPr>
        <w:t>”.</w:t>
      </w:r>
    </w:p>
    <w:p>
      <w:pPr>
        <w:ind w:left="1080" w:hanging="532"/>
        <w:spacing w:after="0"/>
        <w:tabs>
          <w:tab w:leader="none" w:pos="1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Represents the costs of acquiring publishers’ advertising space that is purchased by advertisers via our Programmatic end-to-end solution.</w:t>
      </w:r>
    </w:p>
    <w:p>
      <w:pPr>
        <w:spacing w:after="0" w:line="32" w:lineRule="exact"/>
        <w:rPr>
          <w:rFonts w:ascii="Arial" w:cs="Arial" w:eastAsia="Arial" w:hAnsi="Arial"/>
          <w:sz w:val="16"/>
          <w:szCs w:val="16"/>
          <w:color w:val="auto"/>
        </w:rPr>
      </w:pPr>
    </w:p>
    <w:p>
      <w:pPr>
        <w:ind w:left="1080" w:hanging="532"/>
        <w:spacing w:after="0" w:line="250"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Represents our results of operations for the years ended December 31, 2020 and 2019 on an audited basis for 2020 and, to facilitate comparability, on a comparable basis for 2019 (which excludes the Programmatic media cost).</w:t>
      </w:r>
    </w:p>
    <w:p>
      <w:pPr>
        <w:ind w:left="1080" w:hanging="532"/>
        <w:spacing w:after="0" w:line="250"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Represents the traffic acquisition costs which consist of purchases of impressions from publishers on a cost per thousand impression basis in our Performance activities.</w:t>
      </w:r>
    </w:p>
    <w:p>
      <w:pPr>
        <w:ind w:left="1080" w:hanging="532"/>
        <w:spacing w:after="0"/>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Represents our revenue calculated on a net basis for both Programmatic and Performance activities.</w:t>
      </w:r>
    </w:p>
    <w:p>
      <w:pPr>
        <w:spacing w:after="0" w:line="9"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is defined as total comprehensive income for the year for the year adjusted for foreign currency translation differences for foreign operations, financing expenses, net, tax benefit, depreciation and amortization, stock-based compensation, restructuring and acquisition-related costs and other expenses (income), net. Adjusted EBITDA margin is defined as Adjusted EBITDA as a percentage of net revenue. Adjusted EBITDA is a non-IFRS financial metric. See “</w:t>
      </w:r>
      <w:r>
        <w:rPr>
          <w:rFonts w:ascii="Arial" w:cs="Arial" w:eastAsia="Arial" w:hAnsi="Arial"/>
          <w:sz w:val="18"/>
          <w:szCs w:val="18"/>
          <w:i w:val="1"/>
          <w:iCs w:val="1"/>
          <w:color w:val="auto"/>
        </w:rPr>
        <w:t>Prospectus Summary—Summary Consolidated Financial and Other Data</w:t>
      </w:r>
      <w:r>
        <w:rPr>
          <w:rFonts w:ascii="Arial" w:cs="Arial" w:eastAsia="Arial" w:hAnsi="Arial"/>
          <w:sz w:val="18"/>
          <w:szCs w:val="18"/>
          <w:color w:val="auto"/>
        </w:rPr>
        <w:t>” for information regarding the limitations of using Adjusted EBITDA as a financial measure.</w:t>
      </w:r>
    </w:p>
    <w:p>
      <w:pPr>
        <w:spacing w:after="0" w:line="82"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The following table reconciles Adjusted EBITDA to the most directly comparable IFRS financial performance measure, which is for the year:</w:t>
      </w:r>
    </w:p>
    <w:p>
      <w:pPr>
        <w:spacing w:after="0" w:line="255"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Year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66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for the year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Foreign currency translation differences for foreign operation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(2,836)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on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(2,636)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(9,581)</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Financial income,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32,359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45,187</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15,809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14,490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60,411</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60,513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4100"/>
              <w:spacing w:after="0"/>
              <w:rPr>
                <w:sz w:val="20"/>
                <w:szCs w:val="20"/>
                <w:color w:val="auto"/>
              </w:rPr>
            </w:pPr>
            <w:r>
              <w:rPr>
                <w:rFonts w:ascii="Arial" w:cs="Arial" w:eastAsia="Arial" w:hAnsi="Arial"/>
                <w:sz w:val="18"/>
                <w:szCs w:val="18"/>
                <w:color w:val="auto"/>
              </w:rPr>
              <w:t>71</w:t>
            </w: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Our net revenue increased by 12% from $164.0 million for the year ended December 31, 2019 to $184.3 million for the year ended December 31, 2020. This was primarily driven by the 30% increase in our Programmatic activities, from $124.2 million for the year ended December 31, 2019 to $161.6 million for the year ended December 31, 2020, mainly attributable to the growth in CTV, our self-serve platform as well as the DSP’s offerings in private marketplaces in the second half of 2020. This was partially offset by the 43% decrease in our Performance activities, from $39.9 million for the year ended December 31, 2019 to $22.7 million for the year ended December 31, 2020, which resulted from our strategic shift towards the Programmatic activities as the main growth driver.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Our Adjusted EBITDA remained largely unchanged at $60.5 million for the year ended December 31, 2020, compared to $60.4 million for the year ended December 31, 2019. This was primarily driven by the increase in our Programmatic activity, mainly attributable to the revenue growth in CTV, our self-serve platform as well as the DSP’s offerings in private marketplaces. This was offset by the decrease in our Performance activity. In particular, in the first half of 2020, our business was negatively impacted by the COVID-19 pandemic, which resulted in a decrease in advertising demand globally. As business promotion activities started to recover, the second half of 2020 saw a significant resurgence of advertising spend. Our Adjusted EBITDA for the six months ended December 31, 2020 increased approximately 32 times from the equivalent figure for the six months ended June 30, 2020, which represented a 51% year-over-year increase over our Adjusted EBITDA for the six months ended December 31, 2019. Consequently, our full year Adjusted EBITDA for 2020 remains intact, although some verticals have still not recovered, including travel, retail and hospitality. Adjusted EBITDA is a non-IFRS financial metric. For a discussion of the most directly comparable measure calculated in accordance with IFRS, see “</w:t>
      </w:r>
      <w:r>
        <w:rPr>
          <w:rFonts w:ascii="Arial" w:cs="Arial" w:eastAsia="Arial" w:hAnsi="Arial"/>
          <w:sz w:val="17"/>
          <w:szCs w:val="17"/>
          <w:i w:val="1"/>
          <w:iCs w:val="1"/>
          <w:color w:val="auto"/>
        </w:rPr>
        <w:t>—Results of Operations—Total comprehensive income for the year.</w:t>
      </w:r>
      <w:r>
        <w:rPr>
          <w:rFonts w:ascii="Arial" w:cs="Arial" w:eastAsia="Arial" w:hAnsi="Arial"/>
          <w:sz w:val="17"/>
          <w:szCs w:val="17"/>
          <w:color w:val="auto"/>
        </w:rPr>
        <w: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Operating Metrics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3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Active customers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Number of active customers</w:t>
            </w:r>
            <w:r>
              <w:rPr>
                <w:rFonts w:ascii="Arial" w:cs="Arial" w:eastAsia="Arial" w:hAnsi="Arial"/>
                <w:sz w:val="15"/>
                <w:szCs w:val="15"/>
                <w:color w:val="auto"/>
              </w:rPr>
              <w:t>(1)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net revenue</w:t>
            </w:r>
            <w:r>
              <w:rPr>
                <w:rFonts w:ascii="Arial" w:cs="Arial" w:eastAsia="Arial" w:hAnsi="Arial"/>
                <w:sz w:val="15"/>
                <w:szCs w:val="15"/>
                <w:color w:val="auto"/>
              </w:rPr>
              <w:t>(2)</w:t>
            </w:r>
            <w:r>
              <w:rPr>
                <w:rFonts w:ascii="Arial" w:cs="Arial" w:eastAsia="Arial" w:hAnsi="Arial"/>
                <w:sz w:val="18"/>
                <w:szCs w:val="18"/>
                <w:color w:val="auto"/>
              </w:rPr>
              <w:t xml:space="preserve"> per active customer (in thousands)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Net revenue retention rate</w:t>
            </w:r>
            <w:r>
              <w:rPr>
                <w:rFonts w:ascii="Arial" w:cs="Arial" w:eastAsia="Arial" w:hAnsi="Arial"/>
                <w:sz w:val="15"/>
                <w:szCs w:val="15"/>
                <w:color w:val="auto"/>
              </w:rPr>
              <w:t>(3)</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w w:val="99"/>
              </w:rPr>
              <w:t>112%</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 impressions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Number of ad impressions</w:t>
            </w:r>
            <w:r>
              <w:rPr>
                <w:rFonts w:ascii="Arial" w:cs="Arial" w:eastAsia="Arial" w:hAnsi="Arial"/>
                <w:sz w:val="15"/>
                <w:szCs w:val="15"/>
                <w:color w:val="auto"/>
              </w:rPr>
              <w:t>(4)</w:t>
            </w:r>
            <w:r>
              <w:rPr>
                <w:rFonts w:ascii="Arial" w:cs="Arial" w:eastAsia="Arial" w:hAnsi="Arial"/>
                <w:sz w:val="18"/>
                <w:szCs w:val="18"/>
                <w:color w:val="auto"/>
              </w:rPr>
              <w:t xml:space="preserve"> (in millions)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45,175</w:t>
            </w:r>
          </w:p>
        </w:tc>
        <w:tc>
          <w:tcPr>
            <w:tcW w:w="1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53,839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2"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active customer is defined as an advertiser, agency, trading desk or third party DSP that has used our platform within a trailing 365 day period.</w:t>
      </w:r>
    </w:p>
    <w:p>
      <w:pPr>
        <w:spacing w:after="0" w:line="46" w:lineRule="exact"/>
        <w:rPr>
          <w:rFonts w:ascii="Arial" w:cs="Arial" w:eastAsia="Arial" w:hAnsi="Arial"/>
          <w:sz w:val="16"/>
          <w:szCs w:val="16"/>
          <w:color w:val="auto"/>
        </w:rPr>
      </w:pPr>
    </w:p>
    <w:p>
      <w:pPr>
        <w:jc w:val="both"/>
        <w:ind w:left="540" w:right="2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revenue is defined as our revenue calculated on a net basis by excluding the media cost for both Programmatic and Performance activities. Net revenue is a non-IFRS financial metric. See “</w:t>
      </w:r>
      <w:r>
        <w:rPr>
          <w:rFonts w:ascii="Arial" w:cs="Arial" w:eastAsia="Arial" w:hAnsi="Arial"/>
          <w:sz w:val="18"/>
          <w:szCs w:val="18"/>
          <w:i w:val="1"/>
          <w:iCs w:val="1"/>
          <w:color w:val="auto"/>
        </w:rPr>
        <w:t>Prospectus Summary—Summary Consolidated Financial and Other Data</w:t>
      </w:r>
      <w:r>
        <w:rPr>
          <w:rFonts w:ascii="Arial" w:cs="Arial" w:eastAsia="Arial" w:hAnsi="Arial"/>
          <w:sz w:val="18"/>
          <w:szCs w:val="18"/>
          <w:color w:val="auto"/>
        </w:rPr>
        <w:t>” for information regarding the limitations of using Net revenue as a financial measure. See “—</w:t>
      </w:r>
      <w:r>
        <w:rPr>
          <w:rFonts w:ascii="Arial" w:cs="Arial" w:eastAsia="Arial" w:hAnsi="Arial"/>
          <w:sz w:val="18"/>
          <w:szCs w:val="18"/>
          <w:i w:val="1"/>
          <w:iCs w:val="1"/>
          <w:color w:val="auto"/>
        </w:rPr>
        <w:t>Other Key Financial Metrics</w:t>
      </w:r>
      <w:r>
        <w:rPr>
          <w:rFonts w:ascii="Arial" w:cs="Arial" w:eastAsia="Arial" w:hAnsi="Arial"/>
          <w:sz w:val="18"/>
          <w:szCs w:val="18"/>
          <w:color w:val="auto"/>
        </w:rPr>
        <w:t>” for reconciliation of net revenue to the most directly comparable IFRS financial performance measure, which is revenue.</w:t>
      </w:r>
    </w:p>
    <w:p>
      <w:pPr>
        <w:spacing w:after="0" w:line="1" w:lineRule="exact"/>
        <w:rPr>
          <w:rFonts w:ascii="Arial" w:cs="Arial" w:eastAsia="Arial" w:hAnsi="Arial"/>
          <w:sz w:val="18"/>
          <w:szCs w:val="18"/>
          <w:color w:val="auto"/>
        </w:rPr>
      </w:pPr>
    </w:p>
    <w:p>
      <w:pPr>
        <w:jc w:val="both"/>
        <w:ind w:left="540" w:right="20" w:hanging="424"/>
        <w:spacing w:after="0" w:line="253"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revenue retention rate is defined as net revenue generated in the year ended December 31, 2020 from the customers who were existing customers as of December 31, 2019 as a percentage of the net revenue generated in the year ended December 31, 2019 from the same group of customers. Net revenue retention rate is intended to provide an aggregated view of positive and negative changes for the same group of customers over a 12-month period, including customer attrition, customer renewal, service upgrades and service downgrades. We consider all of our revenue to be recurring. Information on net revenue retention</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rate for the year ended December 31, 2019 is not provided as it is not comparable due to the acquisition of RhythmOne in 2019.</w:t>
      </w:r>
    </w:p>
    <w:p>
      <w:pPr>
        <w:spacing w:after="0" w:line="23"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ad impression is defined as each time an ad is displayed within our platform.</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December 31, 2020, we had cash of $97.5 million and a working capital, consisting of current operating assets less current operating liabilities, of $85 million. We believe our existing cash and cash flow from operations will be sufficient to meet our working capital requirements for at least the next 12 months.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summary consolidated cash flow information for the periods presented.</w:t>
      </w:r>
    </w:p>
    <w:p>
      <w:pPr>
        <w:spacing w:after="0" w:line="244"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Year Ended</w:t>
      </w:r>
    </w:p>
    <w:p>
      <w:pPr>
        <w:jc w:val="center"/>
        <w:ind w:left="57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179"/>
              <w:spacing w:after="0" w:line="119"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vMerge w:val="continue"/>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(as reported)</w:t>
            </w:r>
          </w:p>
        </w:tc>
        <w:tc>
          <w:tcPr>
            <w:tcW w:w="3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(as reported)</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45,073</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35,163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19,438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(52,793)</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Net cash provided by operating activities was $45.1 million for the year ended December 31, 2019, which is derived from our profit for the year of $6.2 million, adjusted for non-cash expenses of $42.1 million, including depreciation and amortization of $32.3 million, and stock-based compensation of $15.8 million, and offset by gain on leases of $2.7 million, gain on sale of business unit of $0.7 million and income tax of $2.6 million. There was an additional $3.3 million cash used, which includes a decrease in accounts receivable of $36.5 million, a decrease in accounts payable of $34.2 million, a decrease in employee benefit of $0.3 million, income taxes paid, net of $4.9 million and interest paid, net of $0.3 million.</w:t>
      </w:r>
    </w:p>
    <w:p>
      <w:pPr>
        <w:spacing w:after="0" w:line="176"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Net cash provided by operating activities was $35.2 million for the year ended December 31, 2020, which is derived from our profit for the year of $2.1 million, adjusted for non-cash adjustments of $48.8 million, including depreciation and amortization of $45.2 million, finance expenses of $1.3 million, stock-based compensation of $14.5 million, income tax of $9.6 million, gain on lease contract change of $2.1 million, gain on sale of business unit of $0.5 million as well as a cash adjustment primarily attributable to an increase in accounts payable of $25.9 million, an increase in accounts receivable of $39.4 million, income taxes paid, net of $1.7 million and interest paid, net of $0.6 million.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Net cash provided by investing activities was $19.4 million for the year ended December 31, 2019, and was primarily comprised of the acquisition of RhythmOne, net of cash acquired of $23.7 million, lease payment receipt of $1.7 million and a net decrease in pledged deposits of $0.8 million, partially offset by the acquisition and development of intangible assets of $5.7 million and the acquisition of fixed assets of $1.1 million.</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Net cash provided by investing activities was $4.9 million for the year ended December 31, 2020 and was primarily comprised of the acquisition of Unruly, net of cash acquired of $6.2 million, lease payment receipt of $2.9 million, repayment of loan of $0.8 million, proceeds from sale of business unit of $0.2 million, and a net decrease in pledged deposits of $0.2 million, partially offset by the acquisition and development of intangible assets of $4.9 million and the acquisition of fixed assets of $0.6 million.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Net cash used in financing activities was $52.8 million for the year ended December 31, 2019, comprised of repayment of loan of $17.3 million, leases repayment of $12.6 million and buy back of shares of $24.7 million, partially offset by proceeds from exercise of share options of $1.8 million.</w:t>
      </w:r>
    </w:p>
    <w:p>
      <w:pPr>
        <w:spacing w:after="0" w:line="124"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Net cash used in financing activities was $22.4 million for the year ended December 31, 2020, and was primarily comprised of leases repayment of $13.4 million and buy back of shares of $10 million, partially offset by proceeds from exercise of share options of $1.0 million.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capital expenditures consist primarily of purchase of hardware and software. Our capital expenditures during the year ended December 31, 2020 were $1.9 million, a $0.8 million increase compared to the year ended December 31, 2019. We will continue to make capital expenditures to meet the expected growth of our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significant contractual obligations as of December 31, 2020 are summarized in the following table: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2"/>
              </w:rPr>
              <w:t>Payments Due by Period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Less than</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1 to 3 years</w:t>
            </w:r>
          </w:p>
        </w:tc>
        <w:tc>
          <w:tcPr>
            <w:tcW w:w="180" w:type="dxa"/>
            <w:vAlign w:val="bottom"/>
          </w:tcPr>
          <w:p>
            <w:pPr>
              <w:spacing w:after="0"/>
              <w:rPr>
                <w:sz w:val="10"/>
                <w:szCs w:val="10"/>
                <w:color w:val="auto"/>
              </w:rPr>
            </w:pPr>
          </w:p>
        </w:tc>
        <w:tc>
          <w:tcPr>
            <w:tcW w:w="6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3 to 5</w:t>
            </w:r>
          </w:p>
        </w:tc>
        <w:tc>
          <w:tcPr>
            <w:tcW w:w="18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440" w:type="dxa"/>
            <w:vAlign w:val="bottom"/>
            <w:vMerge w:val="continue"/>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$21,209</w:t>
            </w:r>
          </w:p>
        </w:tc>
        <w:tc>
          <w:tcPr>
            <w:tcW w:w="11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$ 9,047</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  6,303</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$3,938</w:t>
            </w:r>
          </w:p>
        </w:tc>
        <w:tc>
          <w:tcPr>
            <w:tcW w:w="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1,921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During the periods presented, we did not engage in any off-balance sheet financing activities other than those disclosed in Note 19b to our audited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3 to our audited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which are discussed in detail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that we have no significant exposure to interest rate risk as we have no significant long-term loans. However, our future interest income may fall short of expectations due to changes in market interest rates.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currency transactions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Transactions in foreign currencies are translated to the respective functional currencies of us and our subsidiaries at exchange rates at the dates of the transactions. Monetary assets and liabilities denominated 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foreign currencies at the reporting date are translated in to the functional currency at the exchange rate on that date. The foreign currency gain or loss on monetary items is the difference between amortized cost in the functional currency at the beginning of the year, adjusted for effective interest and payments during the year, and the amortized cost in foreign currency translated at the exchange rate as of the end of the year.</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Non-monetary assets and liabilities denominated in foreign currencies that are measured at fair value are retranslated to the functional currency at the exchange rate on the date that the fair value was determined. Non-monetary items that are measured in terms of historical cost in a foreign currency are translated using the exchange rate on the date of the transaction.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assets and liabilities of foreign operations, including goodwill and fair value adjustments arising on acquisition, are translated to U.S. dollars at exchange rates at the reporting date. The income and expenses of foreign operations are translated to U.S. dollars at exchange rates at the dates of the transactions.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Foreign currency differences are recognized in other comprehensive income and are presented in equity.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mission is to create an efficient automated marketplace for advertisers and publishers, utilizing advanced data driven technology, to enable the delivery of impactful brand stories to relevant audiences across the globe.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are a global company offering an end-to-end software platform that enables advertisers to reach relevant audiences and publishers to maximize yield on their digital advertising inventory. We use our proprietary technology to deliver impactful brand stories to target audiences through digital ad technology and advanced audience data. Our omni-channel capabilities deliver global advertising campaigns across all formats and channels, with an expertise in Video and CTV.</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believe there is a significant market opportunity within the approximately $340 billion global digital advertising market that is expected to grow at a CAGR of 12.4% through 2024, according to eMarketer. Digital publishers rely on advertising to support their businesses and brands, and advertisers use this medium to capture uniquely targeted and viewable impressions. We believe the digital advertising market remains fragmented and that our full service end-to-end software platform and vast expertise within Video and CTV puts us in a strong position to continue to increase our market share from traditional ad sales channels.</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believe that we are positioned to benefit from several trends in the evolving advertising ecosystem, including the proliferation of digital media consumption, adoption of programmatic advertising, a growing focus on premium formats such as Video and CTV, and the increasing sophistication of the overall digital landscape. We address the broad and evolving digital advertising market through our three core offerings, including a proprietary DSP solution that advertisers leverage to manage digital advertising campaigns, a proprietary SSP solution that publishers leverage to optimally monetize digital inventory and a proprietary DMP solution which is integrated with both our DSP and SSP solutions. Our versatile DMP solution benefits from vast amounts of data and provides optimal campaign recommendations for audience sets by employing advanced machine learning algorithms. The contextualization of the data synthesized by our DMP solution provides our advertisers with a comprehensive, personalized view of audiences, enabling more effective targeting across formats and devices and optimizes the monetization of publisher inventory. By combining these three proprietary solutions as well as integrations with industry leading partners, we provide an end-to-end software platform that is dynamic and flexible to our customers’ needs, which enables us to address more digital ad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143510</wp:posOffset>
            </wp:positionV>
            <wp:extent cx="4620260" cy="22713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2026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customers are both ad buyers, including brands and agencies, and digital publishers. Our platform includes a diversified customer base of approximately 900 active customers and 1,450 active publishers with approximately 800 million unique users for the month ended March 31, 2021, which serves advertisements in over 100 countries.</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generate revenue through platform fees that are tailored to fit the customer’s specific utilization of our solutions and include (i) a percentage of spend, (ii) flat fees and (iii) fixed CPM.</w:t>
      </w:r>
    </w:p>
    <w:p>
      <w:pPr>
        <w:spacing w:after="0" w:line="170"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The majority of our revenue is generated in the United States. In the six months ended December 31, 2020, our CTV advertising gross revenue grew 144% from the six months ended June 30, 2020 and 137% from the six months ended December 31, 2019. In the year ended December 31, 2020, CTV advertising net revenue increased 164% year-over-year from the year ended December 31, 2019 on a comparable net basis. CTV net revenue comprised 21% of net revenue in the six months ended December 31, 2020, leading to net revenue growth of 104% compared to the six months ended June 30, 2020, and 37% from the six months ended December 31, 2019, and CTV net revenue comprised 20% of net revenue in the year ended December 31, 2020, representing a 12% growth year-over-year from the year ended December 31, 2019. We generated $184 million and $164 million in net revenue in the years ended December 31, 2020 and 2019, respectively, representing 12% growth year-over-year, partially due to an the impact of the COVID-19 pandemic for the six months ended June 30, 2020.</w:t>
      </w:r>
    </w:p>
    <w:p>
      <w:pPr>
        <w:spacing w:after="0" w:line="17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Our total comprehensive income for the six months ended December 31, 2020 increased $62.3 million from the equivalent figure for the six months ended June 30, 2020 and represented a 211% year-over-year increase as compared to our total comprehensive income for the six months ended December 31, 2019. We generated $5.0 million and $6.3 million in total comprehensive income in the years ended December 31, 2020 and 2019, respectively. Our Adjusted EBITDA for the six months ended December 31, 2020 increased approximately 32 times from the equivalent figure for the six months ended June 30, 2020 and represented a 51% year-over-year increase as compared to our Adjusted EBITDA for the six months ended December 31, 2019. Additionally, we generated $60.5 million and $60.4 million in Adjusted EBITDA in the years ended December 31, 2020 and 2019, respectively, resulting in a cash position of $97 million as of December 31, 2020.</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operate in the digital advertising industry, which is a core pillar of monetizing digital properties accessible by the Internet. We specialize in digital video advertising, which collectively comprises 78% of our net revenue for the year ended December 31, 2020, across mobile video, desktop video and CTV.</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key industry trends shaping the digital advertising market include: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Continued Growth of Digital Media Consumption</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Audiences continue to spend an increasing amount of time online for social, business and purchasing needs. We believe that the COVID-19 pandemic and the subsequent work-from-home and shelter-in-place orders accelerated the adoption of numerous traditionally offline activities to be conducted online, including telehealth, fitness classes, food delivery and e-commerce. As consumers continue to spend more time online for everyday activities, we believe that brands and advertisers will increasingly allocate ad budgets to where the audiences are. According to eMarketer, more than a third of the day is expected to be spent on digital media consumption by 2022. This mass of digital consumption is happening across all devices, including mobile, desktop, tablet and CTV. These trends will further increase both the supply and demand of available ad impressions that can be monetized programmatically.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Shift to Programmatic Advertising</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Programmatic advertising is the use of software and algorithms to match buyers and sellers of digital advertising in a technology-driven marketplace. The transactions are executed in milliseconds and do not require the manual labor of execution. It is becoming increasingly prominent in the digital advertising industry, as publishers and advertisers prefer that their bids/asks for digital ad inventory be completed in an easy, efficient,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and automated manner. Additional advantages of programmatic advertising include enhanced audience targeting, attribution, measurement as well as improved customized campaign management workflow solutions. According to eMarketer, programmatic advertising is expected to increase from $106 billion in 2019 to $147 billion by 2021, at a CAGR of 18%.</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Driven Decision Making</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the digital media industry grows, increased consumer engagement by audiences has created vast amounts of data and behavioral insights that can be harnessed to maximize ROI for advertisers and optimize the monetization of digital inventory for publishers. These insights include industry compliant anonymized data sets relating to consumer interests, preferences and intent, as well as auction data of advertising bid requests. Technology solutions must efficiently and effectively digest, analyze and process an ever increasing amount of data seamlessly while navigating the increased requirements of regulatory challenges and audience protection.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Privacy and Regulatory Concerns</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Over the last few years, there has been increased scrutiny concerning consumer data and the ways in which that data is being used in connection with ad targeting. Globally and locally, new legislation has been introduced and enforced that requires new industry rules and standards. Some of these regulations include the GDPR, the California CCPA and the forthcoming CPRA, and IDFA. Additionally, web browsers such as Safari and Firefox have also removed third-party cookies. These rules and regulations require all constituents within digital advertising to consistently adapt and evolve.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that we are well positioned to capture the fastest growing and next wave of digital advertising, such as Video, including CTV, which reflects 78% of our net revenue for the year ended December 31, 2020.</w:t>
      </w:r>
    </w:p>
    <w:p>
      <w:pPr>
        <w:spacing w:after="0" w:line="170"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Global digital advertising spend is forecast to be $455 billion in 2021 and is expected to grow 11.4% per year to $700 billion by 2025, according to eMarketer. As advertisers follow audiences to next-generation mediums, digital advertising channels are expected to outpace growth of total global media ad spend. The increased Internet bandwidth in developing countries is acting as an additional tailwind, and the increasing proliferation of next-generation cellular technology in developed countries is driving video viewership. We believe these trends will amplify full-screen video usage, which has long been the preferred choice of advertisers. We expect these long-term, systemic shifts will enable us to grow at a faster rate compared to the broader digital advertising market.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Digital Advertising Spending</w:t>
      </w:r>
      <w:r>
        <w:rPr>
          <w:rFonts w:ascii="Arial" w:cs="Arial" w:eastAsia="Arial" w:hAnsi="Arial"/>
          <w:sz w:val="15"/>
          <w:szCs w:val="15"/>
          <w:b w:val="1"/>
          <w:bCs w:val="1"/>
          <w:color w:val="auto"/>
        </w:rPr>
        <w:t>2</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(US$ bn)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4286250" cy="2305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8625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Video and CTV Advertising</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are addressing the fastest growing areas within digital advertising, Video and CTV, which are expected to grow at an accelerated rate compared to other formats. In the United States, where the majority of our revenue is generated, the growth rates and adoption of Video and CTV are expected to be even higher. According to eMarketer, U.S. CTV ad spend is projected to grow at a CAGR of 19.6% from 2021 to 2025, reaching $27.5 billion. U.S. Video ad spend is projected to grow at a CAGR of 15.5% from 2021 to 2025, reaching $98.5 billion. Additionally, the number of digital video viewers worldwide is expected to reach 3.47 billion people by 2024.</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Linear TV budgets are also shifting towards digital video and CTV, further driving demand for these premium ad formats. These overarching market trends underpin our strategic shift to focus on these segments of digital advertising, which given the proliferation of smart TVs and the increasing number of streaming providers, will remain an exciting growth segment.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Mobile Advertising</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number of consumers with smart phones and high speed internet quality are expected to continue rising, which will make mobile advertising a prominent channel within digital. According to eMarketer, U.S. mobile ad spend is projected to grow at a CAGR of 12.4% from 2021 to 2025, reaching $208 billion.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Role in the Digital Advertising Ecosystem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Advertisers and Agencies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Spending begins with advertisers, who often engage advertising agencies to help plan and execute their advertising campaigns. To better control and optimize their advertising operations, advertisers and agencies are consolidating spend with fewer, larger technology platform providers who can deliver transparency and ensure the highest level of inventory quality and control. These advertisers and agencies access our platform through Tremor Video and third-party DSPs. We believe our end-to-end technology platform and direct relationships with advertisers and agencies will lead to significant consolidation of spend onto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57"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eMarketer, March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Side Platforms (“DSP”)</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Advertisers and agencies often engage DSPs, which serve as advertising demand aggregators, to execute their digital marketing campaigns across various ad formats. We offer both full-service and self-managed options through our DSP, enabling highly customized and robust campaigns. We are also integrated with the leading DSPs globally, such as The Trade Desk and Google DV360, enabling customers to execute real-time transactions with our publisher clients.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 Side Platforms (“SSP”)</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SSPs such as ours are designed to monetize digital inventory for publishers and app developers by enabling their content to have the necessary software code and requirements for programmatic integration. Buyers and sellers come together through our marketplace to monetize, target, and purchase available digital advertising inventory. Our platform rapidly and efficiently processes significant volumes of advertising bid information, providing a seamless digital experience for our customers. Traditionally, SSPs have focused exclusively on the needs of sellers in this process and have limited their interactions with buyers to the buyer’s agent, the DSP. As buyers have sought greater control of their advertising supply chains, we have extended the capabilities of our specialized software platform over the last several years to serve the needs of advertisers and agencies.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Publishers and Content Providers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Digital publishers and app developers create websites, digital content and applications that contain content/mediums for consumption for users, along with adjacent viewable space for digital advertisements. As consumers navigate these websites and apps, individual ad impressions are presented to them across different formats/channels. These impressions are typically sold to advertisers and agencies programmatically, in real-time via a third-party technology infrastructure platform or SSP solution. Publishers and app developers rely on advertising revenue as the key driver for their businesses and depend on the capabilities of these third parties in order to achieve optimal yield for their advertising inventory. As of December 31, 2020, we served approximately 1,450 active publishers worldwide on our platform, consisting of 21,000 active sites and apps that we have direct access to publish an ad for our customers.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following attributes and capabilities provide us with long-term competitive advantages: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Established Expertise in Video and CTV</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believe Video, including CTV and mobile video are the fastest growing segments of digital advertising, and they constitute 79% of our total net revenue for the year ended December 31, 2020 (83% for the three months ended December 31, 2020) and 89% of our revenue without mobile-based performance activity for the year ended December 31, 2020 (91% for the three months ended December 31, 2020). We were one of the first movers in the digital video advertising and CTV markets, giving us early traction and recognition as a leader in the space. Our platform was intentionally built as an end-to-end video campaign delivery solution.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End-to-End Platform with Proprietary Technology</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leverage our advanced technology stack to enable advertisers and publishers to maximize their ROI, while optimizing the path between audiences and brands by leveraging our proprietary data sets. We believe we have a competitive advantage by overseeing the entire ecosystem through our proprietary data, unique demand and supply sources and access to premium vendors. As a technology first solution, we have the flexibility of an agnostic platform capable of integrating with different third-party sources to service our customers.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Scale and Reach on the Audience, Advertiser and Publisher</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platform currently accommodates over 100 billion daily ad requests, approximately 500 terabytes of daily data, approximately 250 million daily ad impressions and more than 100 million daily unique sites or apps. This gives us scale with publishers and provides access to direct and exclusive supply of premium advertising inventory, which allows for our advertising customers to avoid intermediaries and reduce costs. Operating an end-to-end platform enables us to minimize the loss of scale typically seen when two independent platforms are user-syncing with each other. This helps us maintain high scalability on buying strategies leveraging audience targeting.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Robust Data Set Fully Integrated Into and Generated by Our Platform</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proprietary DMP is a flexible platform that can be easily integrated across various campaigns and formats. Our DMP leverages first-party data and third-party partnerships to identify and reach curated audiences, benefiting both our advertising and publisher customers. Our platform provides artificial intelligence in the form of machine learning algorithms and statistical models to aggregate and analyze vast amounts of data and contextualizes it into easily usable action items, which can be used across campaigns in real-time.</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machine learning algorithms enable us to process millions of requests per second which supports several of the optimization and prediction models in our platform including invalid traffic monitoring, viewability, queries per second, bidding and pricing models. These machine learning capabilities help our customers achieve their key performance indicators, optimize cost of media and protect against invalid traffic. Additionally, our DMP utilizes machine learning algorithms to build and expand segments in real time.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Team of Industry Veterans with Extensive Expertise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senior management has an extensive background in the advertising technology industry, which we believe gives us a competitive advantage. We have vast experience in acquiring synergistic businesses and a strong track record of integrating successful acquisitions, further driving growth and profitability.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Profitable Business Model</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been Adjusted EBITDA profitable since 2014 and continue to improve our cost structure. As of the year ended December 31, 2020, our net profit margin was 2% and our Adjusted EBITDA margin was 33%. Our structural cost advantages enable us to continuously invest in driving innovation, while delivering both top line revenue growth and profitability.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believe that programmatic advertising is still an underpenetrated market that will experience robust growth over the next decade as ad budgets continue to shift to digital and digital continues to shift towards programmatic execution. We intend to capitalize on these secular trends by pursuing growth opportunities that include: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Focus on Core Areas of Growth in Video and CTV</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CTV is the fastest growth format within digital advertising, and this trend is expected to continue over the next several years according to eMarketer. In the United States, CTV ad spend is expected to grow at a CAGR of 22.5% from 2020 to 2024, and Video is expected to grow at a CAGR of 18.1%, reaching $69.3 billion by 2024. Digital video and CTV comprise 79% of our revenue without mobile-based performance activity for the year ended December 31, 2020, and has been a core focus for us since inception. We plan to leverage our existing expertise in Video and CTV to increase our market share and introduce new technologies and solutions.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Introduce New Products and Invest in our Technology Stack</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As we grow our market share and add new customers, we continue to invest in our technology stack and develop new innovative products. We are continuously trying to introduce new innovative solutions and products to the rapidly evolving digital advertising market. Some potential areas of growth and investment include enhancing our proprietary data sets, enhancing our CTV solution capabilities and marketplace, audience targeting, expanding our alternative identifier solutions and enhancing our global platform coverage capabilities.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providing customers with creative alternatives to plan and execute their campaigns giving them complimentary scale and opportunities to enhance current audience targeting strategies. For example, we offer, and will continue to enhance, contextual targeting solutions from content data collected via our publisher partnerships as well as third-party solutions integrated into our ecosystem.</w:t>
      </w:r>
    </w:p>
    <w:p>
      <w:pPr>
        <w:spacing w:after="0" w:line="184"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There is market movement away from cookie-based tracking which has created an increase in demand for alternate solutions. We have partnerships, and are integrating, with major alternative identifier solutions such as IdentityLink and Unified ID 2.0. We are committed to helping define and support new privacy requirements and identifier mechanisms as the industry standards evolve. We believe that not everyone in the industry will adopt a single solution alternative to cookie-based tracking and we are building our platform to support various identifier solutions.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Strengthen Our Relationship with Existing Customers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are constantly improving functionality on our platform to attract new customers and encourage our existing customer base to allocate more of their ad spend and ad inventory to our platform. We believe as programmatic gains more widespread adoption and brands and publishers continue to focus on Video and CTV, we are strongly positioned to increase our customer base and generate additional revenue from existing customers.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International Footprint and United States Market Share</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continue to acquire new publishers and advertisers globally and invest in expanding our global footprint, providing significant global demand and supply of digital ad impressions across all channels and formats. We will continue to invest in third-party integrations, maintaining and enhancing our platform’s flexibility. We are leveraging our existing technology stack to provide innovative solutions to new and existing customers regardless of location or platform. We consistently innovate and develop new tools and products that enable our customers to maximize their benefit from using our platform and services.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 to Bolster our Data Capabilities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leverage real-time data, artificial intelligence and machine learning capabilities to synthesize, aggregate and contextualize vast amounts of data sets to help our advertisers and publishers optimize their digital ad spend/inventory. Our DMP solution was architected to be flexible, which allows us to deliver impactful and unique insights that are agnostic to format or device type. By owning our own proprietary DMP solution, we are able to provide robust analytics, insights, and better segmentation on a global basis. We believe this gives us a large competitive advantage and enables higher ROI to our advertisers and optimal yield on digital inventory to our publishers.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Leverage our Industry Expertise and Target Select Acquisitions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have been successful in past acquisitions and may direct our industry experience and focus to identify future complementary acquisitions to further broaden our scale and technology solutions. To the extent we identify attractive acquisition opportunities, we have the experience, leadership and track record to successfully execute strategic transactions and integrate acquired businesses into our platform.</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 and End-to-End Technology Platform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Solution</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end-to-end platform is a comprehensive software suite that supports a wide range of media types (e.g., Video, display, etc.) and devices (e.g., mobile, CTVs, streaming devices, desktop, etc.), creating an efficient marketplace where advertisers are able to purchase high quality advertising inventory from publishers at scale. Our solutions offer many advantages, including an advanced real-time bidding auction optimization engine, a quality and global marketplace, and flexibility to enact concurrent campaign strategies that drives strong returns for investments in digital ad real estate.</w:t>
      </w:r>
    </w:p>
    <w:p>
      <w:pPr>
        <w:spacing w:after="0" w:line="15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platform handles over 100 billion daily ad requests, approximately 500 terabytes of daily data and approximately 250 million daily ad impressions. Each transaction is processed in a fraction of a second (55ms on average) and powered by our real-time bidding engine, which leverages thousands of private servers and infrastructure in three strategically located data centers located in the United States, Europe and Asia Pacific.</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Components of our platform include:</w:t>
      </w:r>
    </w:p>
    <w:p>
      <w:pPr>
        <w:spacing w:after="0" w:line="131" w:lineRule="exact"/>
        <w:rPr>
          <w:sz w:val="20"/>
          <w:szCs w:val="20"/>
          <w:color w:val="auto"/>
        </w:rPr>
      </w:pPr>
    </w:p>
    <w:p>
      <w:pPr>
        <w:jc w:val="both"/>
        <w:ind w:left="1080" w:right="2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Demand Side Platform – We offer a self-service DSP solution for advertisers and their agencies to efficiently and intuitively manage omni-channel campaigns. We also offer a full-service option to agencies in addition to our self-service DSP solution. Our DSP solution provides access to wide reaching and high quality inventory, audience targeting and advanced reporting to optimize advertising campaigns, improve ROI and gain deep insights and analytics into brand engagement.</w:t>
      </w:r>
    </w:p>
    <w:p>
      <w:pPr>
        <w:spacing w:after="0" w:line="92" w:lineRule="exact"/>
        <w:rPr>
          <w:rFonts w:ascii="Arial" w:cs="Arial" w:eastAsia="Arial" w:hAnsi="Arial"/>
          <w:sz w:val="18"/>
          <w:szCs w:val="18"/>
          <w:color w:val="auto"/>
        </w:rPr>
      </w:pPr>
    </w:p>
    <w:p>
      <w:pPr>
        <w:jc w:val="both"/>
        <w:ind w:left="1080" w:hanging="532"/>
        <w:spacing w:after="0" w:line="296"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Data Management Platform – We offer a fully integrated DMP solution that sits at the center of our platform that unlocks the power of data flowing through our DSP and SSP solutions. Our DMP enables advertisers and publishers to use data from various sources in order to optimize results of their advertising campaigns. Our DMP provides insights and recommendations pertaining to geographic, behavioral and demographic data, among others in one unified solution. We believe an integrated DMP is a key component to the marketplace because it enables advertisers and publishers to use and activate data to target audiences with more accuracy across a number of different channels.</w:t>
      </w:r>
    </w:p>
    <w:p>
      <w:pPr>
        <w:spacing w:after="0" w:line="66" w:lineRule="exact"/>
        <w:rPr>
          <w:rFonts w:ascii="Arial" w:cs="Arial" w:eastAsia="Arial" w:hAnsi="Arial"/>
          <w:sz w:val="16"/>
          <w:szCs w:val="16"/>
          <w:color w:val="auto"/>
        </w:rPr>
      </w:pPr>
    </w:p>
    <w:p>
      <w:pPr>
        <w:jc w:val="both"/>
        <w:ind w:left="1080" w:right="20" w:hanging="532"/>
        <w:spacing w:after="0" w:line="31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Supply Side Platform – We offer a self-service SSP solution for digital publishers to sell their online ad placements via a real-time bidding auction across all screens including mobile, CTVs, streaming devices and desktops. Our SSP provides access to significant amounts of data, unique demand and a comprehensive product suite to drive more effective inventory management and revenue optimization.</w:t>
      </w:r>
    </w:p>
    <w:p>
      <w:pPr>
        <w:spacing w:after="0" w:line="54" w:lineRule="exact"/>
        <w:rPr>
          <w:rFonts w:ascii="Arial" w:cs="Arial" w:eastAsia="Arial" w:hAnsi="Arial"/>
          <w:sz w:val="16"/>
          <w:szCs w:val="16"/>
          <w:color w:val="auto"/>
        </w:rPr>
      </w:pPr>
    </w:p>
    <w:p>
      <w:pPr>
        <w:jc w:val="both"/>
        <w:ind w:left="1080" w:right="2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Analytics/Artificial Intelligence - We collect, synthesize and analyze the data sets across our platform through extensive artificial intelligence technologies and advanced machine learning capabilities. These recommendations ultimately provide key insights into valuable ad impressions and forecasts for auction behavior. We believe these technologies drive optimal results for our advertisers and publishers.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Demand-Side Platform (“DSP”)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features of our DSP include:</w:t>
      </w:r>
    </w:p>
    <w:p>
      <w:pPr>
        <w:spacing w:after="0" w:line="131" w:lineRule="exact"/>
        <w:rPr>
          <w:sz w:val="20"/>
          <w:szCs w:val="20"/>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Comprehensive, insightful and modern self-service interface that intuitively supports the needs of advertisers and enables them to operate and implement strategies effectively and independently.</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Superior artificial intelligence-based real-time bidding models, to drive efficient buying and meet our customers’ key performance indicators.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Enables seamless access to and integration of an advertisers’ own first-party data, our proprietary data and a wide list of premium third party data segments.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Meaningful forecasting and reporting tools, our DSP can accurately measure how many households and unique users an advertising campaign are able to reach through any targeting initiatives to ensure campaign strategies are achievable.</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Robust omni-channel reporting which enables advertisers to analyze across device and channel campaign effectiveness against various key performance indicators with the ability to compare their statistics through various comprehensive benchmarks.</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Access to our creative studio (tr.ly) with deep expertise to support a variety of creative needs and ideas to enrich messaging and consumer engagements.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Data and Brand Surveys that provide meaningful information for advertisers to evaluate brand lift and behavioral and emotional engagement.</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proprietary brand safety technology uses a combination of machine-learning and propriety algorithms as well as data ingestion from industry-leading verification providers to develop and maintain dynamic block lists and a scoring mechanism to grade our traffic before, during and after ad requests are made.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Supply-Side Platform (“SSP”)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features of our SSP include:</w:t>
      </w:r>
    </w:p>
    <w:p>
      <w:pPr>
        <w:spacing w:after="0" w:line="131" w:lineRule="exact"/>
        <w:rPr>
          <w:sz w:val="20"/>
          <w:szCs w:val="20"/>
          <w:color w:val="auto"/>
        </w:rPr>
      </w:pPr>
    </w:p>
    <w:p>
      <w:pPr>
        <w:jc w:val="both"/>
        <w:ind w:left="1080" w:right="20" w:hanging="532"/>
        <w:spacing w:after="0" w:line="279"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Comprehensive and highly intuitive self-service platform which enables publishers to easily integrate into our ecosystem, manage their digital inventory, access reporting and insights and transact with their programmatic buyers through private marketplace deals. Once integrated with our SSP solution, publishers also benefit from our unique and differentiated demand available through our proprietary DSP solution and additionally through demand facilitation initiatives driven by our global sales force.</w:t>
      </w:r>
    </w:p>
    <w:p>
      <w:pPr>
        <w:spacing w:after="0" w:line="76" w:lineRule="exact"/>
        <w:rPr>
          <w:rFonts w:ascii="Arial" w:cs="Arial" w:eastAsia="Arial" w:hAnsi="Arial"/>
          <w:sz w:val="17"/>
          <w:szCs w:val="17"/>
          <w:color w:val="auto"/>
        </w:rPr>
      </w:pPr>
    </w:p>
    <w:p>
      <w:pPr>
        <w:jc w:val="both"/>
        <w:ind w:left="1080" w:right="2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Connection to the world’s largest DSPs and compatibility with most AdAge top 100 brands. Our SSP solution delivers over 6 billion advertisements to viewers every month and optimizes content for different formats, builds effective custom audiences and delivers impressive ROI at scale.</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Omni-channel marketplace with access to approximately 1,450 active publishers across the globe and exclusive access to News Corp digital advertising inventory.</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Industry-leading forecasting analytics and data-driven yield optimization tools to maximize inventory monetization and delivers impressive ROI at scale.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Enables publishers to customize their experience through the ability to opt out of certain ad verticals or specific advertisers in order to customize demand for their media and manage channel conflicts.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Support for all major integration types, including open real-time bidding, header-bidding solutions, as well as our proprietary client-side solutions, including our video player, giving publishers the flexibility of choosing the methods through which they want to offer their ad inventory to advertisers.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and Data Management Platform (“DMP”)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features of our DMP include:</w:t>
      </w:r>
    </w:p>
    <w:p>
      <w:pPr>
        <w:spacing w:after="0" w:line="131" w:lineRule="exact"/>
        <w:rPr>
          <w:sz w:val="20"/>
          <w:szCs w:val="20"/>
          <w:color w:val="auto"/>
        </w:rPr>
      </w:pPr>
    </w:p>
    <w:p>
      <w:pPr>
        <w:jc w:val="both"/>
        <w:ind w:left="1080" w:right="20" w:hanging="532"/>
        <w:spacing w:after="0" w:line="27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Audience segments that are generated directly within our platform, leveraging a collection of first and third party data sets, including strategic data partnerships. Our platform also enables advertisers and publishers to connect and leverage their own first party data for activation across our ecosystem. Based on our platform’s statistical models, we are able to uncover deep insights from behavioral data, feeding into a machine learning platform that allows us to achieve our advertisers’ and publishers’ performance metrics.</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Ability for advertisers and publishers to layer custom data segments against their campaigns and private marketplace deals.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308"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Includes unique data driven insights available through our self-service user interfaces or custom built and curated by our team, along with the ability for advertisers and publishers to forecast scale, reach and media cost against the audiences they are looking to target.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Provides for audience driven creative optimization, combining the power of the DMP with our proprietary creative platform (tr.ly).</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Specific focus and expertise around contextualizing linear TV retargeting data activation and repurposing for digital insights, providing advertisers strong content retargeting, insight and attribution capabilities on digital formats.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EQ product, fully integrated into our DMP, is a proprietary emotional analytics tool that provides advertisers the data they need to maximize the emotional, social and business impact of their advertising.</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EQ product compiles surveys along with facial recognition of users to see how those individuals responds to questions or advertising, which further engages targeting for our advertisers’ campaigns.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Our customers consist of blue-chip global brands and advertising agencies on the demand side and high quality publishers on the supply side across several industries, including retail, entertainment, consumer, financial services, healthcare and more. We had approximately 900 active customers for the year ended December 31, 2020 including prominent members of the U7 Council such as American Express, GSK, P&amp;G, Unilever and others.</w:t>
      </w:r>
    </w:p>
    <w:p>
      <w:pPr>
        <w:spacing w:after="0" w:line="14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On our demand side, we have brands and agencies using our self-service offering, our own managed services offering and third-party DSP integrations. Buyers and advertisers transact through these tools. On the supply side, we service digital publishers, app developers and subscribers to our self-serve platform.</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We enter into contracts with our customers either through MSAs or insertion orders. An insertion order is an agreement entered into by an advertiser and publisher to govern the terms of running a campaign. Our customers typically enter into MSAs with us that give users access to our platform. These MSAs typically have one year terms that renew automatically, unless earlier terminated. We benefit from stable relationships, with approximately 80% of our revenue for the year ended December 31, 2020 derived from clients who have been with us for more than two years.</w:t>
      </w:r>
    </w:p>
    <w:p>
      <w:pPr>
        <w:spacing w:after="0" w:line="17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long standing relationships with our customer base. Our customers repeatedly use our platform, illustrated by our revenue retention rate of 112% in the year ended December 31, 2020. In addition, our customers typically grow their use of our platform over time.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have a number of competitors that operate in segments of our business, but few of our competitors provide the full end-to-end technology solution that we offer.</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believe that our long track record and expertise in the digital advertising industry gives us significant advantages with regards to platform development and expertise, as well as a long development lead ahead of new entrants. We also believe that we compete primarily based on the performance of campaigns running on our platform, capabilities of our platform, our identity resolution capabilities, our omni-channel capabilities and our advance reporting and measurement capabilities.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the demand side, companies such as Roku Inc., Viant Technology, Inc., Samsung, Inc. and MediaMath are some of our key competitors</w:t>
      </w:r>
    </w:p>
    <w:p>
      <w:pPr>
        <w:spacing w:after="0" w:line="23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On the supply side, companies such as Magnite, Inc. and PubMatic, Inc. are our main competitors, all of which compete to provide publisher inventory to advertisers.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principal competitive factors in our industry include the following:</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proven technology, software-as-a-service offering and optimization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omni-channel execution;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quality and scale of digital inventory and demand;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depth and breadth of relationships with brand advertisers, premium publishers and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full suite of viewability, measurement, verification and brand safety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flexible pricing;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transparency in the ecosystem.</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that we compete favorably with respect to all of these factors and are well positioned as a full service end-to-end platform catering to both advertisers and publishers.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 and Development</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business model enables us to invest into our research and development efforts, which have helped grow our business. Our platform is extremely efficient at managing large amounts of complex data and is leveraged by both our advertisers and publishers in real time. We are committed to innovative technologies and rapid introduction of enhanced functionalities to support the dynamic needs of our advertisers and publishers. We therefore expect technology and development expense to increase as we continue to invest in our platform to support increased volume of advertising spend and our international expansion. Our technology and development team is based in the United States and Israel. As of December 31, 2020, research and development expenses accounted for 21% of our operating expenses.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As an end-to-end platform, we have highly qualified teams dedicated to acquiring new premium advertising and publisher customers. These teams focus on selling access to our platform through self-serve and managed service offerings. Our global sales and marketing team consists of approximately 180 employees as of December 31, 2020 and takes a hands-on approach to both new and existing advertiser and publisher relationships.</w:t>
      </w:r>
    </w:p>
    <w:p>
      <w:pPr>
        <w:spacing w:after="0" w:line="14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We have dedicated teams focused on post-sale customer support. Our client success team onboards advertisers and liaises directly with the customer on a regular basis to optimize delivery against key performance indicators and help meet their goals throughout the campaign life-cycle. Our publisher operations team onboards publishers and engages directly with the customer to support their needs and effectively monetize inventory. We expect to continue to expand our sales and marketing and customer support teams as we expand into new industry verticals and geographical markets.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 and Culture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part of our track record of successfully integrating acquisitions, we pride ourselves on bringing together new teams under one culture, which is based on the ideal that “everything is possible.”</w:t>
      </w:r>
    </w:p>
    <w:p>
      <w:pPr>
        <w:spacing w:after="0" w:line="170"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Our management team encourages employees to share their feedback, ideas and thoughts by promoting a transparent organizational culture and an open door policy. We also introduced internal surveys to garner employee feedback and satisfaction and to receive suggestions.</w:t>
      </w:r>
    </w:p>
    <w:p>
      <w:pPr>
        <w:spacing w:after="0" w:line="14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communicate and build relationships with external stakeholders via our marketing efforts, including social media, events, public relations, direct marketing and online advertising among other initiatives. We have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“People &amp; Culture” program, which provides employees with volunteer opportunities in the community, particularly focused on education, such as tutoring at risk youth and collaborating with schools serving underprivileged communities. We as a company also regularly donate to voluntary associations.</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Our employees tend to be long tenured for our industry, with an average tenure of the leadership team of approximately four years and more than three years across all employees. We believe we attract talented employees to our company and sophisticated customers to our platform in large part because of our vision and unwavering commitment to using cutting-edge technologies to create products that help advance the advertising industry.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we had 564 employees globally.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Our success depends, in part, on our ability to protect the proprietary methods and technologies that we develop or otherwise acquire. We rely on copyright, trade secret laws, confidentiality procedures and contractual provisions to protect our proprietary methods and technologies, and own more than 50 patents. We rely upon common law protection for certain marks, such as “Tremor” and “Tremor Video.”</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generally enter into confidentiality and/or license agreements with our employees, consultants, vendors and advertisers, and we generally limit access to, and distribution of, our proprietary information. We intend to pursue additional intellectual property protection to the extent we believe it would be beneficial and cost effective.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Privacy and Data</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Modern consumers use multiple platforms to learn about and purchase products and services, and consumers have come to expect a seamless experience across all channels. This challenges marketing organizations to balance the demands of consumers and the most effective advertising techniques with responsible, privacy-compliant methods of managing data internally and with advertising technology intermediaries.</w:t>
      </w:r>
    </w:p>
    <w:p>
      <w:pPr>
        <w:spacing w:after="0" w:line="16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the United States, both state and federal legislation govern activities such as the collection and use of data by companies that engage in digital advertising like us. Also, because our platform reaches users throughout the world, some of our activities may also be subject to foreign legislation. As we continue to expand internationally, we will be subject to additional legislation and regulation, and these laws may affect how we conduct business.</w:t>
      </w:r>
    </w:p>
    <w:p>
      <w:pPr>
        <w:spacing w:after="0" w:line="14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U.S. Congress and state legislatures, along with federal regulatory authorities, have increased their attention on matters concerning the collection and use of consumer data, including relating to internet-based advertising. Data privacy legislation has been introduced in the U.S. Congress, and California has enacted the CCPA and the forthcoming CPRA. State legislatures outside of California have proposed, and in certain cases enacted, a variety of types of data privacy legislation. Many non-U.S. jurisdictions have also enacted or are developing laws and regulations governing the collection and use of personal data.</w:t>
      </w:r>
    </w:p>
    <w:p>
      <w:pPr>
        <w:spacing w:after="0" w:line="188"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Additionally, U.S. and foreign governments have enacted or are considering enacting legislation that could significantly restrict our ability to collect, augment, analyze, use and share data collected through cookies and similar technologies, such as by regulating the level of consumer notice and consent required before a company can employ cookies or other electronic tools to track people online. In the United States, the FTC has commenced the examination of privacy issues that arise when marketers track consumers across multiple devices, otherwise known as cross-device tracking. In addition to the requirements relating to cookies or similar technologies described in the section “</w:t>
      </w:r>
      <w:r>
        <w:rPr>
          <w:rFonts w:ascii="Arial" w:cs="Arial" w:eastAsia="Arial" w:hAnsi="Arial"/>
          <w:sz w:val="17"/>
          <w:szCs w:val="17"/>
          <w:i w:val="1"/>
          <w:iCs w:val="1"/>
          <w:color w:val="auto"/>
        </w:rPr>
        <w:t>Risk Factors—Risks Relating to Legal or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Constraints—We are subject to laws and regulations related to data privacy, data protection, and information security, and consumer protection across different markets where we conduct our business, including in the United States, the EEA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the United Kingdom and industry requirements and such laws, regulations, and industry requirements are constantly evolving and changing. Our actual or perceived failure to comply with such laws and regulations could have an adverse effect on our business, results of operations and financial condition</w:t>
      </w:r>
      <w:r>
        <w:rPr>
          <w:rFonts w:ascii="Arial" w:cs="Arial" w:eastAsia="Arial" w:hAnsi="Arial"/>
          <w:sz w:val="17"/>
          <w:szCs w:val="17"/>
          <w:color w:val="auto"/>
        </w:rPr>
        <w:t>”, in the European Union and the United Kingdom, informed consent is required for the placement of a cookie or similar technologies on a</w:t>
      </w:r>
      <w:r>
        <w:rPr>
          <w:rFonts w:ascii="Arial" w:cs="Arial" w:eastAsia="Arial" w:hAnsi="Arial"/>
          <w:sz w:val="17"/>
          <w:szCs w:val="17"/>
          <w:i w:val="1"/>
          <w:iCs w:val="1"/>
          <w:color w:val="auto"/>
        </w:rPr>
        <w:t xml:space="preserve"> </w:t>
      </w:r>
      <w:r>
        <w:rPr>
          <w:rFonts w:ascii="Arial" w:cs="Arial" w:eastAsia="Arial" w:hAnsi="Arial"/>
          <w:sz w:val="17"/>
          <w:szCs w:val="17"/>
          <w:color w:val="auto"/>
        </w:rPr>
        <w:t>user’s device and for direct electronic marketing. The GDPR also imposes conditions on obtaining valid consent, such as a prohibition on pre-checked consents and a requirement to ensure separate consents are sought for each type of cookie or similar technology.</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Additionally, our compliance with our privacy policy and our general consumer data privacy and security practices are subject to review by regulatory bodies such as the FTC, which may bring enforcement actions to challenge allegedly unfair and deceptive trade practices, including the violation of privacy policies and representations or material omissions therein.</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Certain State Attorneys General in the United States may also bring enforcement actions based on comparable state laws or federal laws that permit state-level enforcement. In California, for example, the Attorney General may bring enforcement actions for violations of the CCPA, as modified by the Attorney General’s enforcement guidelines. When we receive bid requests that include an opt-out signal, we do not sell personal information, as defined by the CCPA. We have also adopted the DAA CCPA Compliance Framework, which includes a technical specification to identify consumer signals to opt-out of sale of their data, and have signed the IAB Limited Service Provider Agreement that imposes service provider obligations for certain opted-out bid requests. These IAB frameworks are designed to facilitate compliance with the CCPA although the California Attorney General’s office has not yet approved such frameworks. The CCPA sets forth high potential liabilities for data privacy violations on a per-incident basis, and the industry faces an uncertain compliance burden as our partners and publishers work to become compliant with the law. Also, the CPRA, once it takes effect in January 2023, will impose additional data protection obligations on companies doing business in California, including additional consumer rights processes and opt-outs for certain uses of sensitive data and sharing of personal data.</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Virginia recently enacted the Virginia Privacy Act, the second comprehensive state privacy law since California voters passed the CCPA (and the subsequent CPRA). We expect the trend of enacting new and comprehensive privacy legislation to continue not only in the US but also around the globe.</w:t>
      </w:r>
    </w:p>
    <w:p>
      <w:pPr>
        <w:spacing w:after="0" w:line="184"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To protect against unlawful content (advertiser and publisher), we include restrictions on content in our terms and conditions. We also manually review the websites of new publisher partners and use third party software to screen impressions we acquire through advertising exchanges.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may from time to time, be party to legal or regulatory proceedings arising in the ordinary course of business. Defending any such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headquarters are located in Tel Aviv, Israel where we occupy facilities totaling approximately 11,800 square feet under a lease that expires in May 2024. In addition, we have key locations in New York, Los Angeles and Chicago in the United States, as well as international locations in the United Kingdom, Japan, Singapore and Australia. These locations support our key business functions including sales and marketing, customer support, business development, engineering, product development and infrastructure support. We believe that our current facilities are suitable to meet our existing needs.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name and position of each of our executive officers and directors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18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36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Executive Officers</w:t>
            </w:r>
          </w:p>
        </w:tc>
        <w:tc>
          <w:tcPr>
            <w:tcW w:w="222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Ofer Druker</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Sagi Niri</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Chief Financial Officer and Director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Yaniv Carmi</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Chief Operating Officer and Director</w:t>
            </w:r>
          </w:p>
        </w:tc>
      </w:tr>
      <w:tr>
        <w:trPr>
          <w:trHeight w:val="31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2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Christopher Stibbs</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Non-Executive Chairperson</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Rebekah Brooks</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Non-Executive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Norm Johnston</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Non-Executive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Neil Jones</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Senior Non-Executive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Joanna Parnell</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Non-Executive Director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Lisa Klinger</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Non-Executive 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b w:val="1"/>
          <w:bCs w:val="1"/>
          <w:i w:val="1"/>
          <w:iCs w:val="1"/>
          <w:color w:val="auto"/>
        </w:rPr>
        <w:t>Ofer Druker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Ofer Druker has served as our Chief Executive Officer and as a member of our board of directors since April 2019 following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the merger with RhythmOne. From November 2017 to April 2019, Mr. Druker served as our Executive Chairman of the Tremor Video division and was instrumental in our successful integration of Tremor Video after its acquisition in August 2017. Previously, Mr. Druker was the founder and Chief Executive Officer of Matomy Media Group Ltd., a data-driven advertising company (“Matomy”) until April 2017, having built Matomy from its inception in 2007 into a digital media company. Mr. Druker was responsible for leading and integrating Matomy’s most important strategic transactions, including the acquisitions of Team Internet, Media Whiz, Mobfox and Optimatic.</w:t>
      </w:r>
    </w:p>
    <w:p>
      <w:pPr>
        <w:spacing w:after="0" w:line="17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Sagi Niri. </w:t>
      </w:r>
      <w:r>
        <w:rPr>
          <w:rFonts w:ascii="Arial" w:cs="Arial" w:eastAsia="Arial" w:hAnsi="Arial"/>
          <w:sz w:val="17"/>
          <w:szCs w:val="17"/>
          <w:color w:val="auto"/>
        </w:rPr>
        <w:t>Sagi Niri has served as our Chief Financial Officer since March 2020 and as a member of our board of directors since June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Niri has over 20 years of experience in finance and leadership roles in the technology and real estate sectors. Mr. Niri previously served as Chief Executive Officer of Labs (“Labs”), and Chief Financial Officer of LabTech Investments Ltd., Labs’ parent company, which owns and manages office, retail and residential real estate in London. In addition, Mr. Niri spent over nine years at Matomy, initially as Chief Operating Officer/Chief Financial Officer and more recently as Chief Executive Officer. Mr. Niri is a member of the Institute of Certified Public Accountants in Israel and holds an M.B.A. in Finance from Manchester University and a B.A. in Corporate Finance from the College of Management in Israel.</w:t>
      </w:r>
    </w:p>
    <w:p>
      <w:pPr>
        <w:spacing w:after="0" w:line="17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Yaniv Carmi. </w:t>
      </w:r>
      <w:r>
        <w:rPr>
          <w:rFonts w:ascii="Arial" w:cs="Arial" w:eastAsia="Arial" w:hAnsi="Arial"/>
          <w:sz w:val="17"/>
          <w:szCs w:val="17"/>
          <w:color w:val="auto"/>
        </w:rPr>
        <w:t>Yaniv Carmi has served as our Chief Operating Officer since March 2020 and as a member of our board of directors since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Carmi previously served as our Chief Financial Officer from January 2010 to March 2020. He is currently responsible for the delivery of our business plan and driving our growth ambitions. Mr. Carmi was instrumental in our initial public offering of our ordinary shares on AIM in 2014 and in the subsequent global expansion in operations, including significant M&amp;A activity. He is an experienced finance professional, whose previous roles include tax and audit senior at KPMG Israel. Mr. Carmi is also a Certified Public Accountant and holds a B.A. in Economics and Accounting from Ben-Gurion University and an M.B.A. in Financial Management from Tel Aviv University.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Christopher Stibbs. </w:t>
      </w:r>
      <w:r>
        <w:rPr>
          <w:rFonts w:ascii="Arial" w:cs="Arial" w:eastAsia="Arial" w:hAnsi="Arial"/>
          <w:sz w:val="18"/>
          <w:szCs w:val="18"/>
          <w:color w:val="auto"/>
        </w:rPr>
        <w:t>Christopher Stibbs has served as a member of our board of directors since May 2019 and as our Non-Executive Chairperson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September 2020. Mr. Stibbs has over 25 years of experience as 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executive in the media industry. Until August 2019, he served as Chief Executive of The Economist Group (the “Economist Group”). Previously, he held a number of roles within the group including head of the Economist Intelligence Unit (the group’s B2B arm) and Chief Financial Officer. He is credited with overseeing the Economist Group’s resilience and transition through the unprecedented disruption experienced by the publishing industry over the last 15 years. Prior to this, he held positions with Pearson and Incisive Media. Mr. Stibbs is a fellow of the Associations of Chartered Accountants and Corporate Treasurers, currently has a non-executive role at Oxford University Press and is Chairman of Times Higher Education.</w:t>
      </w:r>
    </w:p>
    <w:p>
      <w:pPr>
        <w:spacing w:after="0" w:line="16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Rebekah Brooks. </w:t>
      </w:r>
      <w:r>
        <w:rPr>
          <w:rFonts w:ascii="Arial" w:cs="Arial" w:eastAsia="Arial" w:hAnsi="Arial"/>
          <w:sz w:val="17"/>
          <w:szCs w:val="17"/>
          <w:color w:val="auto"/>
        </w:rPr>
        <w:t>Rebekah Brooks has served as a member of our board of directors since June 2020. Ms. Brooks is Chief Executive of British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newspaper publisher News Corp UK and Ireland, part of News Corp, a position she has held since 2015, having first joined News Corp in 1989. Starting as a feature writer for the News of the World, Mr. Brooks became Editor of the Sun in 2003, a position she held until July 2009. From 2009 to 2011, she served as Chief Executive of News International, overseeing a period of significant growth in newspaper operating profit and paid-for digital subscriptions at The Times. Following her appointment as Chief Executive of News Corp UK and Ireland, Ms. Brooks restructured the Sun’s online strategy, driving significant audience growth. In 2016, she also oversaw the strategic acquisition of Wireless, the owner of national radio brands talkSPORT, talkRADIO and Virgin Radio. Ms. Brooks is a Director of News Group Newspapers and Times Newspapers, and a Non-Executive Director of PA Group, the parent company of the Press Association.</w:t>
      </w:r>
    </w:p>
    <w:p>
      <w:pPr>
        <w:spacing w:after="0" w:line="17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Norm Johnston. </w:t>
      </w:r>
      <w:r>
        <w:rPr>
          <w:rFonts w:ascii="Arial" w:cs="Arial" w:eastAsia="Arial" w:hAnsi="Arial"/>
          <w:sz w:val="17"/>
          <w:szCs w:val="17"/>
          <w:color w:val="auto"/>
        </w:rPr>
        <w:t>Norm Johnston has served as a member of our board of directors since June 2020. Mr. Johnston is a veteran employee of News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 Until recently, he was the Chief Executive Officer of Unruly, the digital advertising business we acquired in January 2020, a position he has held since April 2018. Mr. Johnston has been involved in digital marketing since joining the marketing industry’s first digital agency, Modem Media in 1995. In 1997, Mr. Johnston launched Modem Media UK (“Modem”), one of Britain’s first and most successful digital agencies. After Modem was acquired by Publicis in 2007, Mr. Johnston joined WPP and GroupM’s Mindshare, where he held a number of senior roles between 2007 and 2018, including Global Chief Digital Officer and Global Chief Executive Officer of its FAST business unit, a team of over 2,000 specialists in 115 cities working for global clients such as Unilever, Nestle and American Express. Mr. Johnston holds a B.A. in Economics and Political Science from Northwestern University and an M.B.A. in Marketing from Duke University’s Fuqua School of Business.</w:t>
      </w:r>
    </w:p>
    <w:p>
      <w:pPr>
        <w:spacing w:after="0" w:line="178"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Neil Jones. </w:t>
      </w:r>
      <w:r>
        <w:rPr>
          <w:rFonts w:ascii="Arial" w:cs="Arial" w:eastAsia="Arial" w:hAnsi="Arial"/>
          <w:sz w:val="16"/>
          <w:szCs w:val="16"/>
          <w:color w:val="auto"/>
        </w:rPr>
        <w:t>Neil Jones has served as a member of our board of directors since 2014. Mr. Jones is currently Chief Operating Officer and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of directors of Huntsworth plc, a healthcare communications and public relations group, which is listed on the Main Market of the London Stock Exchange. Between February 2016 and October 2019, Mr. Jones held the position of Chief Financial Officer at Huntsworth plc. He joined Huntsworth plc from ITE Group plc, the international exhibitions group, where he held the position of Chief Financial Officer from 2008. Between 2003 and 2008, Mr. Jones was Group Finance Director at Tarsus Group plc, and prior to that, he spent five years as Finance Director (Europe) at Advanstar Communications. Mr. Jones has a B.A. in Economics from the University of Manchester and completed the ACA in July 1990 with Price Waterhouse.</w:t>
      </w:r>
    </w:p>
    <w:p>
      <w:pPr>
        <w:spacing w:after="0" w:line="164"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Joanna Parnell. </w:t>
      </w:r>
      <w:r>
        <w:rPr>
          <w:rFonts w:ascii="Arial" w:cs="Arial" w:eastAsia="Arial" w:hAnsi="Arial"/>
          <w:sz w:val="17"/>
          <w:szCs w:val="17"/>
          <w:color w:val="auto"/>
        </w:rPr>
        <w:t>Joanna Parnell has served as a member of our board of directors since 2014. Ms. Parnell is the Co-Founder of strategic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consultancy Project50, designing commercial growth strategies for C-suite business leaders in the United Kingdom and the United States. Previously, Ms. Parnell was Managing Partner at Wavemaker (formerly MEC), one of the world’s leading media agency networks and owned by WPP plc, where she led the paid digital and data team, overseeing the agency’s focus on data driven campaigns. Prior to moving to Wavemaker in March 2016, Ms. Parnell was Director of Strategy and sat on the management team at Unique Digital (now a WPP plc company), with responsibility for setting product and business strategy, including leading the multichannel planning strategy (cross-device and cross-platform), managing product heads and driving key initiatives across data buying, attribution modelling and biddable media adaptation. Ms. Parnell has a Masters in German and Business from the University of Edinburgh and studied at the London School of Marketing between 2005 and 2006.</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Lisa Klinger. </w:t>
      </w:r>
      <w:r>
        <w:rPr>
          <w:rFonts w:ascii="Arial" w:cs="Arial" w:eastAsia="Arial" w:hAnsi="Arial"/>
          <w:sz w:val="17"/>
          <w:szCs w:val="17"/>
          <w:color w:val="auto"/>
        </w:rPr>
        <w:t>Lisa Klinger has served as a member of our board of directors since April 2021. Ms. Klinger has nearly 30 years of experience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finance. Most recently, Ms. Klinger was Chief Financial Officer at Ideal Image Development Corp, one of the largest cosmetic and aesthetic services providers in the United States, between 2018 and 2019, and prior to that she held the role of Chief Financial and Administrative Officer between 2016 and 2017 at Peloton Interactive Inc., the American exercise equipment and media company. Ms. Klinger has also held senior finance roles at Fresh Market Inc., where she was Executive and Vice President, Chief Financial Officer for three years, as well as at Michaels Stores Inc., where she was Senior Vice President, Finance and Treasurer for four years, and Acting Chief Financial Officer. Ms. Klinger is currently a member of the board of directors and the chair of the audit committee of Emerald Holding Inc. (NYSE:EEX), a leading operator of B2B trade shows in the United States, and a member of the board of directors of PartyCity HoldCo Inc. (NYSE:PRTY), a party goods retailer in North America. Ms. Klinger holds a B.S.B.A. in Finance from Bowling Green State University.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Practices; External Directors</w:t>
      </w:r>
    </w:p>
    <w:p>
      <w:pPr>
        <w:spacing w:after="0" w:line="117"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As an Israeli company, we are subject to various corporate governance requirements under the Companies Law, including the requirement to appoint at least two external directors to the board of directors. However, pursuant to regulations promulgated under the Companies Law, companies</w:t>
      </w:r>
    </w:p>
    <w:p>
      <w:pPr>
        <w:jc w:val="both"/>
        <w:ind w:left="120" w:right="20"/>
        <w:spacing w:after="0" w:line="251" w:lineRule="auto"/>
        <w:rPr>
          <w:sz w:val="20"/>
          <w:szCs w:val="20"/>
          <w:color w:val="auto"/>
        </w:rPr>
      </w:pPr>
      <w:r>
        <w:rPr>
          <w:rFonts w:ascii="Arial" w:cs="Arial" w:eastAsia="Arial" w:hAnsi="Arial"/>
          <w:sz w:val="18"/>
          <w:szCs w:val="18"/>
          <w:color w:val="auto"/>
        </w:rPr>
        <w:t>with shares or ADSs traded on certain U.S. stock exchanges, including ,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These regulations however do not permit an Israeli company whose shares are only traded on AIM, a market of the London Stock Exchange, to “opt out” from such Companies Law requirements. Accordingly, until this offering we were not able to “opt out” from such requirements, and our board of directors included three external directors, and we have complied with the related Companies Law rules concerning the composition of the audit committee and compensation committee of the board of directors.</w:t>
      </w:r>
    </w:p>
    <w:p>
      <w:pPr>
        <w:spacing w:after="0" w:line="19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In connection with this offering and the listing of our ADSs for trading on , we elected to “opt out” from such requirements of the Companies Law effective upon the closing of this offering, and our three external directors, Neil Jones, Joanna Parnell and Lisa Klinger, will become regular directors, except that their current term of office shall expire at the 2023 annual general meeting. Under these regulations, the exemptions from such Companies Law requirements will continue to be available to us so long as: (i) we do not have a “controlling shareholder” (as such term is defined</w:t>
      </w:r>
    </w:p>
    <w:p>
      <w:pPr>
        <w:spacing w:after="0" w:line="1" w:lineRule="exact"/>
        <w:rPr>
          <w:sz w:val="20"/>
          <w:szCs w:val="20"/>
          <w:color w:val="auto"/>
        </w:rPr>
      </w:pPr>
    </w:p>
    <w:p>
      <w:pPr>
        <w:jc w:val="both"/>
        <w:ind w:left="120"/>
        <w:spacing w:after="0" w:line="265" w:lineRule="auto"/>
        <w:rPr>
          <w:sz w:val="20"/>
          <w:szCs w:val="20"/>
          <w:color w:val="auto"/>
        </w:rPr>
      </w:pPr>
      <w:r>
        <w:rPr>
          <w:rFonts w:ascii="Arial" w:cs="Arial" w:eastAsia="Arial" w:hAnsi="Arial"/>
          <w:sz w:val="17"/>
          <w:szCs w:val="17"/>
          <w:color w:val="auto"/>
        </w:rPr>
        <w:t>under the Companies Law), (ii) our shares or ADSs are traded on certain U.S. stock exchanges, including , and (iii) we comply with the director independence requirements and the audit committee and compensation committee composition requirements under U.S. laws (including</w:t>
      </w:r>
    </w:p>
    <w:p>
      <w:pPr>
        <w:ind w:left="120"/>
        <w:spacing w:after="0"/>
        <w:tabs>
          <w:tab w:leader="none" w:pos="2180" w:val="left"/>
        </w:tabs>
        <w:rPr>
          <w:sz w:val="20"/>
          <w:szCs w:val="20"/>
          <w:color w:val="auto"/>
        </w:rPr>
      </w:pPr>
      <w:r>
        <w:rPr>
          <w:rFonts w:ascii="Arial" w:cs="Arial" w:eastAsia="Arial" w:hAnsi="Arial"/>
          <w:sz w:val="18"/>
          <w:szCs w:val="18"/>
          <w:color w:val="auto"/>
        </w:rPr>
        <w:t>applicable rules of</w:t>
      </w:r>
      <w:r>
        <w:rPr>
          <w:sz w:val="20"/>
          <w:szCs w:val="20"/>
          <w:color w:val="auto"/>
        </w:rPr>
        <w:tab/>
      </w:r>
      <w:r>
        <w:rPr>
          <w:rFonts w:ascii="Arial" w:cs="Arial" w:eastAsia="Arial" w:hAnsi="Arial"/>
          <w:sz w:val="16"/>
          <w:szCs w:val="16"/>
          <w:color w:val="auto"/>
        </w:rPr>
        <w:t>) applicable to U.S. domestic issuers.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the closing of this offering, we will be a “foreign private issuer” (as such term is defined in Rule 405 under the Securities Act). As a foreign</w:t>
      </w:r>
    </w:p>
    <w:p>
      <w:pPr>
        <w:spacing w:after="0" w:line="4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private issuer we will be permitted to comply with Israeli corporate governance practices instead of the corporate governance rules of , provided that we disclose which requirements we are not following and the equivalent Israeli requirement.</w:t>
      </w:r>
    </w:p>
    <w:p>
      <w:pPr>
        <w:spacing w:after="0" w:line="185"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intend to rely on this “foreign private issuer exemption” with respect to the quorum requirement for shareholder meetings. As permitted under the Companies Law, pursuant to our amended and restated articles of association to be effective upon the closing of this offering, the quorum required for an ordinary meeting of shareholders will consist of at least two shareholders present in person, by proxy or by other voting instrument in accordance with the Companies Law who hold at least 25% of the voting power of our shares (and if the meeting is adjourned for a lack of quorum, the quorum for such adjourned meeting will be, subject to certain exceptions, any number of shareholders), instead of 33</w:t>
      </w:r>
      <w:r>
        <w:rPr>
          <w:rFonts w:ascii="Arial" w:cs="Arial" w:eastAsia="Arial" w:hAnsi="Arial"/>
          <w:sz w:val="13"/>
          <w:szCs w:val="13"/>
          <w:color w:val="auto"/>
        </w:rPr>
        <w:t>1/3</w:t>
      </w:r>
      <w:r>
        <w:rPr>
          <w:rFonts w:ascii="Arial" w:cs="Arial" w:eastAsia="Arial" w:hAnsi="Arial"/>
          <w:sz w:val="16"/>
          <w:szCs w:val="16"/>
          <w:color w:val="auto"/>
        </w:rPr>
        <w:t>% of the issued share capital as required</w:t>
      </w:r>
    </w:p>
    <w:p>
      <w:pPr>
        <w:spacing w:after="0" w:line="2"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8"/>
          <w:szCs w:val="18"/>
          <w:color w:val="auto"/>
        </w:rPr>
        <w:t>under the corporate governance rules of</w:t>
      </w:r>
      <w:r>
        <w:rPr>
          <w:sz w:val="20"/>
          <w:szCs w:val="20"/>
          <w:color w:val="auto"/>
        </w:rPr>
        <w:tab/>
      </w:r>
      <w:r>
        <w:rPr>
          <w:rFonts w:ascii="Arial" w:cs="Arial" w:eastAsia="Arial" w:hAnsi="Arial"/>
          <w:sz w:val="16"/>
          <w:szCs w:val="16"/>
          <w:color w:val="auto"/>
        </w:rPr>
        <w:t>. We otherwise intend to comply with the rules generally applicable to U.S.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660" w:type="dxa"/>
            <w:vAlign w:val="bottom"/>
          </w:tcPr>
          <w:p>
            <w:pPr>
              <w:spacing w:after="0"/>
              <w:rPr>
                <w:sz w:val="17"/>
                <w:szCs w:val="17"/>
                <w:color w:val="auto"/>
              </w:rPr>
            </w:pPr>
          </w:p>
        </w:tc>
        <w:tc>
          <w:tcPr>
            <w:tcW w:w="8100" w:type="dxa"/>
            <w:vAlign w:val="bottom"/>
          </w:tcPr>
          <w:p>
            <w:pPr>
              <w:spacing w:after="0"/>
              <w:rPr>
                <w:sz w:val="17"/>
                <w:szCs w:val="17"/>
                <w:color w:val="auto"/>
              </w:rPr>
            </w:pPr>
          </w:p>
        </w:tc>
      </w:tr>
      <w:tr>
        <w:trPr>
          <w:trHeight w:val="519"/>
        </w:trPr>
        <w:tc>
          <w:tcPr>
            <w:tcW w:w="3020" w:type="dxa"/>
            <w:vAlign w:val="bottom"/>
            <w:gridSpan w:val="2"/>
          </w:tcPr>
          <w:p>
            <w:pPr>
              <w:ind w:left="120"/>
              <w:spacing w:after="0"/>
              <w:rPr>
                <w:sz w:val="20"/>
                <w:szCs w:val="20"/>
                <w:color w:val="auto"/>
              </w:rPr>
            </w:pPr>
            <w:r>
              <w:rPr>
                <w:rFonts w:ascii="Arial" w:cs="Arial" w:eastAsia="Arial" w:hAnsi="Arial"/>
                <w:sz w:val="18"/>
                <w:szCs w:val="18"/>
                <w:color w:val="auto"/>
              </w:rPr>
              <w:t>domestic companies listed on</w:t>
            </w:r>
          </w:p>
        </w:tc>
        <w:tc>
          <w:tcPr>
            <w:tcW w:w="8100" w:type="dxa"/>
            <w:vAlign w:val="bottom"/>
          </w:tcPr>
          <w:p>
            <w:pPr>
              <w:ind w:left="40"/>
              <w:spacing w:after="0"/>
              <w:rPr>
                <w:sz w:val="20"/>
                <w:szCs w:val="20"/>
                <w:color w:val="auto"/>
              </w:rPr>
            </w:pPr>
            <w:r>
              <w:rPr>
                <w:rFonts w:ascii="Arial" w:cs="Arial" w:eastAsia="Arial" w:hAnsi="Arial"/>
                <w:sz w:val="18"/>
                <w:szCs w:val="18"/>
                <w:color w:val="auto"/>
                <w:w w:val="91"/>
              </w:rPr>
              <w:t>. We may, however, in the future decide to use the “foreign private issuer exemption” and opt out of some or all</w:t>
            </w:r>
          </w:p>
        </w:tc>
      </w:tr>
      <w:tr>
        <w:trPr>
          <w:trHeight w:val="230"/>
        </w:trPr>
        <w:tc>
          <w:tcPr>
            <w:tcW w:w="3020" w:type="dxa"/>
            <w:vAlign w:val="bottom"/>
            <w:gridSpan w:val="2"/>
          </w:tcPr>
          <w:p>
            <w:pPr>
              <w:ind w:left="120"/>
              <w:spacing w:after="0"/>
              <w:rPr>
                <w:sz w:val="20"/>
                <w:szCs w:val="20"/>
                <w:color w:val="auto"/>
              </w:rPr>
            </w:pPr>
            <w:r>
              <w:rPr>
                <w:rFonts w:ascii="Arial" w:cs="Arial" w:eastAsia="Arial" w:hAnsi="Arial"/>
                <w:sz w:val="18"/>
                <w:szCs w:val="18"/>
                <w:color w:val="auto"/>
                <w:w w:val="89"/>
              </w:rPr>
              <w:t>of the other corporate governance rules.</w:t>
            </w:r>
          </w:p>
        </w:tc>
        <w:tc>
          <w:tcPr>
            <w:tcW w:w="8100" w:type="dxa"/>
            <w:vAlign w:val="bottom"/>
          </w:tcPr>
          <w:p>
            <w:pPr>
              <w:spacing w:after="0"/>
              <w:rPr>
                <w:sz w:val="20"/>
                <w:szCs w:val="20"/>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Under the Companies Law and our amended and restated articles of association to be effective upon the closing of this offering, our business and affairs will be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95"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Under our amended and restated articles of association to be effective upon the closing of this offering, the number of directors on our board of directors will be no less than four and no more than nine directors. At each annual general meeting of our shareholders, the election or re-election of directors following the expiration of the term of office of the directors will be for a term of office that expires on next annual general meeting following such election or re-election, except that, in accordance with Israeli law, the current term of office of our directors — Neil Jones, Joanna Parnell and Lisa Klinger, who served as our external Directors in accordance with Israeli law until this offering, shall expire at the 2023 annual general meeting.</w:t>
      </w:r>
    </w:p>
    <w:p>
      <w:pPr>
        <w:spacing w:after="0" w:line="161"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majority of the voting power represented at the general meeting in person or by proxy and voting on the election of directors provided that if the number of nominees so elected exceeds the number of directors that are proposed by the board of directors to be elected, then as among such elected nominees the election shall be by a plurality of the votes cast. 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9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Under our amended and restated articles of association to be effective upon the closing of this offering, the approval of the holders of at least 65% of the total voting power of our shareholders is generally required to remove any of our directors from office or amend the provision requiring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to be effective upon the closing of this offering, until the next annual general meeting of our shareholders for the election of the class of directors to which such director was assigned by our board of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Chairperson of the Board</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provide that the chairperson of the board of directors is appointed by the members of the board of directors from among them. Under the Companies Law, the chief executive officer of a public company, or a relative of the chief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46"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executive officer, may not serve as the chairperson of the board of directors, and the chairperson of the board of directors, or a relative of the chairperson, may not be vested with authorities of the chief executive officer unless approved by a special majority of the company’s shareholders. The shareholders’ approval can be effective for a period of up to three years.</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Companies Law, the board of directors of a public company must appoint an audit committee.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117" w:lineRule="exact"/>
        <w:rPr>
          <w:sz w:val="20"/>
          <w:szCs w:val="20"/>
          <w:color w:val="auto"/>
        </w:rPr>
      </w:pPr>
    </w:p>
    <w:p>
      <w:pPr>
        <w:ind w:left="560"/>
        <w:spacing w:after="0"/>
        <w:tabs>
          <w:tab w:leader="none" w:pos="4560" w:val="left"/>
        </w:tabs>
        <w:rPr>
          <w:sz w:val="20"/>
          <w:szCs w:val="20"/>
          <w:color w:val="auto"/>
        </w:rPr>
      </w:pPr>
      <w:r>
        <w:rPr>
          <w:rFonts w:ascii="Arial" w:cs="Arial" w:eastAsia="Arial" w:hAnsi="Arial"/>
          <w:sz w:val="18"/>
          <w:szCs w:val="18"/>
          <w:color w:val="auto"/>
        </w:rPr>
        <w:t>Under the corporate governance rules of</w:t>
      </w:r>
      <w:r>
        <w:rPr>
          <w:sz w:val="20"/>
          <w:szCs w:val="20"/>
          <w:color w:val="auto"/>
        </w:rPr>
        <w:tab/>
      </w:r>
      <w:r>
        <w:rPr>
          <w:rFonts w:ascii="Arial" w:cs="Arial" w:eastAsia="Arial" w:hAnsi="Arial"/>
          <w:sz w:val="16"/>
          <w:szCs w:val="16"/>
          <w:color w:val="auto"/>
        </w:rPr>
        <w:t>, we are required to maintain an audit committee consisting of at least three independent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directors, each of whom is financially literate and one of whom has accounting or related financial management expertise.</w:t>
      </w:r>
    </w:p>
    <w:p>
      <w:pPr>
        <w:spacing w:after="0" w:line="211"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Our audit committee consists of Neil Jones, Joanna Parnell and Lisa Klinger. Lisa Klinger serves as the chairperson of the audit committee. All members of our audit committee meet the requirements for financial literacy under the applicable rules and regulations of the SEC and the corporate</w:t>
      </w:r>
    </w:p>
    <w:p>
      <w:pPr>
        <w:ind w:left="120" w:right="20"/>
        <w:spacing w:after="0" w:line="260" w:lineRule="auto"/>
        <w:rPr>
          <w:sz w:val="20"/>
          <w:szCs w:val="20"/>
          <w:color w:val="auto"/>
        </w:rPr>
      </w:pPr>
      <w:r>
        <w:rPr>
          <w:rFonts w:ascii="Arial" w:cs="Arial" w:eastAsia="Arial" w:hAnsi="Arial"/>
          <w:sz w:val="18"/>
          <w:szCs w:val="18"/>
          <w:color w:val="auto"/>
        </w:rPr>
        <w:t>governance rules of . Our board of directors has determined that each of and Neil Jones is an audit committee financial expert as defined by the SEC rules and has the requisite financial experience as defined by the corporate governance rules of .</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board of directors has determined that each member of our audit committee is “independent” as such term is defined in Rule 10A-3(b)(1) under the Exchange Act, which is different from the general test for independence of board and committee members.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has adopted an audit committee charter setting forth the responsibilities of the audit committee, which are consistent with</w:t>
      </w:r>
    </w:p>
    <w:p>
      <w:pPr>
        <w:spacing w:after="0" w:line="46" w:lineRule="exact"/>
        <w:rPr>
          <w:sz w:val="20"/>
          <w:szCs w:val="20"/>
          <w:color w:val="auto"/>
        </w:rPr>
      </w:pPr>
    </w:p>
    <w:p>
      <w:pPr>
        <w:ind w:left="120"/>
        <w:spacing w:after="0"/>
        <w:tabs>
          <w:tab w:leader="none" w:pos="6180" w:val="left"/>
        </w:tabs>
        <w:rPr>
          <w:sz w:val="20"/>
          <w:szCs w:val="20"/>
          <w:color w:val="auto"/>
        </w:rPr>
      </w:pPr>
      <w:r>
        <w:rPr>
          <w:rFonts w:ascii="Arial" w:cs="Arial" w:eastAsia="Arial" w:hAnsi="Arial"/>
          <w:sz w:val="18"/>
          <w:szCs w:val="18"/>
          <w:color w:val="auto"/>
        </w:rPr>
        <w:t>the Companies Law, the SEC rules and the corporate governance rules of</w:t>
      </w:r>
      <w:r>
        <w:rPr>
          <w:sz w:val="20"/>
          <w:szCs w:val="20"/>
          <w:color w:val="auto"/>
        </w:rPr>
        <w:tab/>
      </w:r>
      <w:r>
        <w:rPr>
          <w:rFonts w:ascii="Arial" w:cs="Arial" w:eastAsia="Arial" w:hAnsi="Arial"/>
          <w:sz w:val="16"/>
          <w:szCs w:val="16"/>
          <w:color w:val="auto"/>
        </w:rPr>
        <w:t>and include:</w:t>
      </w:r>
    </w:p>
    <w:p>
      <w:pPr>
        <w:spacing w:after="0" w:line="116" w:lineRule="exact"/>
        <w:rPr>
          <w:sz w:val="20"/>
          <w:szCs w:val="20"/>
          <w:color w:val="auto"/>
        </w:rPr>
      </w:pPr>
    </w:p>
    <w:p>
      <w:pPr>
        <w:ind w:left="1080" w:right="2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ratification by the board of directors, and in the case of retention, to ratification by the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pre-approving audit and non-audit services to be provided by the independent auditors and related fees and terms;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 our annual and quarterly financial statements prior to publication or filing (or submission, as the case may be) to the SEC;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34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p>
      <w:pPr>
        <w:spacing w:after="0" w:line="29"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with our general counsel and/or external counsel, as deemed necessary, legal and regulatory matters that could have a material impact on the financial statements;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irregularities in our business administration by among other things, consulting with the internal auditor or with the independent auditor, and suggesting corrective measures to the board of directors;</w:t>
      </w:r>
    </w:p>
    <w:p>
      <w:pPr>
        <w:spacing w:after="0" w:line="75"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policies and procedures with respect to transactions between the Company and officers and directors (other than transactions related to the compensation or terms of service of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Companies Law, the board of directors of a public company must appoint a compensation committee.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Requirements</w:t>
      </w:r>
    </w:p>
    <w:p>
      <w:pPr>
        <w:sectPr>
          <w:pgSz w:w="11900" w:h="16838" w:orient="portrait"/>
          <w:cols w:equalWidth="0" w:num="1">
            <w:col w:w="11140"/>
          </w:cols>
          <w:pgMar w:left="320" w:top="459" w:right="439" w:bottom="1440" w:gutter="0" w:footer="0" w:header="0"/>
        </w:sectPr>
      </w:pP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Under the corporate governance rules of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we are required to maintain a compensation committee consisting of at least three independent</w:t>
      </w:r>
    </w:p>
    <w:p>
      <w:pPr>
        <w:spacing w:after="0" w:line="463" w:lineRule="exact"/>
        <w:rPr>
          <w:sz w:val="20"/>
          <w:szCs w:val="20"/>
          <w:color w:val="auto"/>
        </w:rPr>
      </w:pPr>
    </w:p>
    <w:p>
      <w:pPr>
        <w:sectPr>
          <w:pgSz w:w="11900" w:h="16838" w:orient="portrait"/>
          <w:cols w:equalWidth="0" w:num="2">
            <w:col w:w="3520" w:space="720"/>
            <w:col w:w="6900"/>
          </w:cols>
          <w:pgMar w:left="320" w:top="459" w:right="43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Our compensation committee consists of Neil Jones, Joanna Parnell and Lisa Klinger. Neil Jones serves as chairperson of the committee. Our</w:t>
      </w:r>
    </w:p>
    <w:p>
      <w:pPr>
        <w:spacing w:after="0" w:line="46"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board of directors has determined that each member of our compensation committee is independent under the corporate governance rules of , including the additional independence requirements applicable to the members of a compensation committee.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accordance with the Companies Law, the roles of the compensation committee are, among others, as follows:</w:t>
      </w:r>
    </w:p>
    <w:p>
      <w:pPr>
        <w:spacing w:after="0" w:line="131"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making recommendations to the board of directors with respect to the approval of the compensation policy for office holders;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the implementation of the compensation policy and periodically making recommendations to the board of directors with respect to any amendments or updates of the compensation policy;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resolving whether or not to approve arrangements with respect to the terms of office and employment of office holders;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exempting, under certain circumstances, transactions with our Chief Executive Officer from the approval of our shareholders.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has adopted a compensation committee charter setting forth the responsibilities of the committee, which are consistent with</w:t>
      </w:r>
    </w:p>
    <w:p>
      <w:pPr>
        <w:spacing w:after="0" w:line="46" w:lineRule="exact"/>
        <w:rPr>
          <w:sz w:val="20"/>
          <w:szCs w:val="20"/>
          <w:color w:val="auto"/>
        </w:rPr>
      </w:pPr>
    </w:p>
    <w:p>
      <w:pPr>
        <w:ind w:left="120"/>
        <w:spacing w:after="0"/>
        <w:tabs>
          <w:tab w:leader="none" w:pos="3320" w:val="left"/>
        </w:tabs>
        <w:rPr>
          <w:sz w:val="20"/>
          <w:szCs w:val="20"/>
          <w:color w:val="auto"/>
        </w:rPr>
      </w:pPr>
      <w:r>
        <w:rPr>
          <w:rFonts w:ascii="Arial" w:cs="Arial" w:eastAsia="Arial" w:hAnsi="Arial"/>
          <w:sz w:val="18"/>
          <w:szCs w:val="18"/>
          <w:color w:val="auto"/>
        </w:rPr>
        <w:t>the corporate governance rules of</w:t>
      </w:r>
      <w:r>
        <w:rPr>
          <w:sz w:val="20"/>
          <w:szCs w:val="20"/>
          <w:color w:val="auto"/>
        </w:rPr>
        <w:tab/>
      </w:r>
      <w:r>
        <w:rPr>
          <w:rFonts w:ascii="Arial" w:cs="Arial" w:eastAsia="Arial" w:hAnsi="Arial"/>
          <w:sz w:val="16"/>
          <w:szCs w:val="16"/>
          <w:color w:val="auto"/>
        </w:rPr>
        <w:t>and include among others:</w:t>
      </w:r>
    </w:p>
    <w:p>
      <w:pPr>
        <w:spacing w:after="0" w:line="116" w:lineRule="exact"/>
        <w:rPr>
          <w:sz w:val="20"/>
          <w:szCs w:val="20"/>
          <w:color w:val="auto"/>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recommending to our board of directors for its approval a compensation policy in accordance with the requirements of the Companies Law as well as other compensation policies, incentive-based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63" w:lineRule="auto"/>
        <w:rPr>
          <w:sz w:val="20"/>
          <w:szCs w:val="20"/>
          <w:color w:val="auto"/>
        </w:rPr>
      </w:pPr>
      <w:r>
        <w:rPr>
          <w:rFonts w:ascii="Arial" w:cs="Arial" w:eastAsia="Arial" w:hAnsi="Arial"/>
          <w:sz w:val="18"/>
          <w:szCs w:val="18"/>
          <w:color w:val="auto"/>
        </w:rPr>
        <w:t>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spacing w:after="0" w:line="89" w:lineRule="exact"/>
        <w:rPr>
          <w:sz w:val="20"/>
          <w:szCs w:val="20"/>
          <w:color w:val="auto"/>
        </w:rPr>
      </w:pPr>
    </w:p>
    <w:p>
      <w:pPr>
        <w:jc w:val="both"/>
        <w:ind w:left="1080" w:hanging="532"/>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approving and exempting certain transactions regarding office holders’ compensation pursuant to the Companies Law; and</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Policy under the Companies Law</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general, under the Companies Law, a public company must have a compensation policy approved by its board of directors after receiving and considering the recommendations of the compensation committee.</w:t>
      </w:r>
    </w:p>
    <w:p>
      <w:pPr>
        <w:spacing w:after="0" w:line="170"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71"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office holder’s position and responsibilities;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prior compensation agreements with the office holder;</w:t>
      </w:r>
    </w:p>
    <w:p>
      <w:pPr>
        <w:spacing w:after="0" w:line="13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75"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policy must also include, among other things:</w:t>
      </w:r>
    </w:p>
    <w:p>
      <w:pPr>
        <w:spacing w:after="0" w:line="131"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regards to variable components:</w:t>
      </w:r>
    </w:p>
    <w:p>
      <w:pPr>
        <w:spacing w:after="0" w:line="130" w:lineRule="exact"/>
        <w:rPr>
          <w:rFonts w:ascii="Arial" w:cs="Arial" w:eastAsia="Arial" w:hAnsi="Arial"/>
          <w:sz w:val="18"/>
          <w:szCs w:val="18"/>
          <w:color w:val="auto"/>
        </w:rPr>
      </w:pPr>
    </w:p>
    <w:p>
      <w:pPr>
        <w:jc w:val="both"/>
        <w:ind w:left="1540" w:right="20" w:hanging="439"/>
        <w:spacing w:after="0" w:line="301" w:lineRule="auto"/>
        <w:tabs>
          <w:tab w:leader="none" w:pos="15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if such amount is not higher than three months’ salary per annum, taking into account such office holder’s contribution to the company;</w:t>
      </w:r>
    </w:p>
    <w:p>
      <w:pPr>
        <w:spacing w:after="0" w:line="62" w:lineRule="exact"/>
        <w:rPr>
          <w:rFonts w:ascii="Arial" w:cs="Arial" w:eastAsia="Arial" w:hAnsi="Arial"/>
          <w:sz w:val="16"/>
          <w:szCs w:val="16"/>
          <w:color w:val="auto"/>
        </w:rPr>
      </w:pPr>
    </w:p>
    <w:p>
      <w:pPr>
        <w:ind w:left="1540" w:right="20" w:hanging="439"/>
        <w:spacing w:after="0" w:line="277" w:lineRule="auto"/>
        <w:tabs>
          <w:tab w:leader="none" w:pos="15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limit to retirement grants.</w:t>
      </w:r>
    </w:p>
    <w:p>
      <w:pPr>
        <w:sectPr>
          <w:pgSz w:w="11900" w:h="16838" w:orient="portrait"/>
          <w:cols w:equalWidth="0" w:num="1">
            <w:col w:w="11140"/>
          </w:cols>
          <w:pgMar w:left="320" w:top="459" w:right="439" w:bottom="1440" w:gutter="0" w:footer="0" w:header="0"/>
        </w:sectPr>
      </w:pP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compensation policy was last adopted by our compensation committee, board of directors and shareholders in as an exhibit to the registration statement of which this prospectus forms a part.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2021 and will be filed</w:t>
      </w:r>
    </w:p>
    <w:p>
      <w:pPr>
        <w:spacing w:after="0" w:line="493" w:lineRule="exact"/>
        <w:rPr>
          <w:sz w:val="20"/>
          <w:szCs w:val="20"/>
          <w:color w:val="auto"/>
        </w:rPr>
      </w:pPr>
    </w:p>
    <w:p>
      <w:pPr>
        <w:sectPr>
          <w:pgSz w:w="11900" w:h="16838" w:orient="portrait"/>
          <w:cols w:equalWidth="0" w:num="2">
            <w:col w:w="8800" w:space="640"/>
            <w:col w:w="1700"/>
          </w:cols>
          <w:pgMar w:left="320" w:top="459" w:right="43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nominating and governance committee consists of Neil Jones, Joana Parnell and Christopher Stibbs. Christopher Stibbs serves as chairperson of the committee. Our board of directors has adopted a nominating and governance committee charter setting forth the responsibilities of the committee, which include:</w:t>
      </w:r>
    </w:p>
    <w:p>
      <w:pPr>
        <w:spacing w:after="0" w:line="8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93" w:lineRule="exact"/>
        <w:rPr>
          <w:sz w:val="20"/>
          <w:szCs w:val="20"/>
          <w:color w:val="auto"/>
        </w:rPr>
      </w:pPr>
    </w:p>
    <w:p>
      <w:pPr>
        <w:ind w:left="1080" w:right="20" w:hanging="532"/>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308"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 other than the Chief Executive Officer</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Companies Law requires the approval of the compensation of a public company’s executive officers (other than the chief executive officer or an executive officer who also serves as a director) in the following order: (i) the compensation committee, (ii) the company’s board of directors, and</w:t>
      </w:r>
    </w:p>
    <w:p>
      <w:pPr>
        <w:jc w:val="both"/>
        <w:ind w:left="120" w:hanging="4"/>
        <w:spacing w:after="0" w:line="253" w:lineRule="auto"/>
        <w:tabs>
          <w:tab w:leader="none" w:pos="4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19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Under the Companies Law, the compensation of a public company’s chief executive officer is required to be approved by: (i) the company’s compensation committee; (ii) the company’s board of directors, and (iii) the company’s shareholders, provided that:</w:t>
      </w:r>
    </w:p>
    <w:p>
      <w:pPr>
        <w:spacing w:after="0" w:line="76" w:lineRule="exact"/>
        <w:rPr>
          <w:sz w:val="20"/>
          <w:szCs w:val="20"/>
          <w:color w:val="auto"/>
        </w:rPr>
      </w:pPr>
    </w:p>
    <w:p>
      <w:pPr>
        <w:ind w:left="1080" w:right="20" w:hanging="532"/>
        <w:spacing w:after="0" w:line="308"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51" w:lineRule="exact"/>
        <w:rPr>
          <w:rFonts w:ascii="Arial" w:cs="Arial" w:eastAsia="Arial" w:hAnsi="Arial"/>
          <w:sz w:val="17"/>
          <w:szCs w:val="17"/>
          <w:color w:val="auto"/>
        </w:rPr>
      </w:pPr>
    </w:p>
    <w:p>
      <w:pPr>
        <w:ind w:left="1080" w:right="20" w:hanging="532"/>
        <w:spacing w:after="0" w:line="308"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14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that is inconsistent with the compensation policy).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company and that subjecting the approval of the engagement to a shareholder vote would impede the company’s ability to employ the chief executive officer candidate. Such waiver does not preclude the need for approval of the compensation of a chief executive officer candidate who also serves as a member of the board of directors, and his or her compensation terms as chief executive officer must be approved in accordance with the rules applicable to approval of compensation of directors.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Aggregate Compensation of Office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aggregate compensation, including share-based compensation, paid by us and our subsidiaries to our executive officers and directors for the</w:t>
      </w:r>
    </w:p>
    <w:p>
      <w:pPr>
        <w:spacing w:after="0" w:line="46"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year ended December 31, 2020 was approximately $ million. This amount includes approximately $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spacing w:after="0" w:line="19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December 31, 2020, (i) options to purchase ordinary shares granted to our executive officers and directors were outstanding under our equity incentive plans at a weighted average exercise price of $ per ordinary share, and (ii) RSUs granted to our executive officers and directors were outstanding under our equity incentive plans.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Non-Executive Directors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currently pay the chairman of our board of directors an annual cash retainer of £150,000 (approximately $ ) and each of our other non-executive directors an annual cash retainer of £43,000 (approximately $ ). In addition, we pay the chair of each of our audit committee and compensation committee an annual cash retainer of £7,000 (approximately $ ), and we pay our senior non-executive director, Neil Jones, an additional annual cash retainer of £5,000 (approximately $ ).</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 xml:space="preserve">Chief Executive Officer and Executive Director. </w:t>
      </w:r>
      <w:r>
        <w:rPr>
          <w:rFonts w:ascii="Arial" w:cs="Arial" w:eastAsia="Arial" w:hAnsi="Arial"/>
          <w:sz w:val="18"/>
          <w:szCs w:val="18"/>
          <w:color w:val="auto"/>
        </w:rPr>
        <w:t>Effective upon the closing, we will pay Ofer Druker, our Chief Executive Officer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an annual base salary of $720,000, and he is eligible to an annual bonus equal to up to 100% of his annual base salary (or $720,000), subject to compliance with annual performance criteria to be determined by the compensation committee each year. Mr. Druker is also entitled to a special bonus of $500,000 upon completion of this offering.</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Our compensation committee, board of directors and shareholders approved to grant to Mr. Druker, effective upon the closing of this offering, 2,625,000 RSUs and 1,125,000 performance share units (“PSUs”) pursuant to our 2017 Equity Incentive Plan (the “2017 Plan”). The RSUs vest gradually over a period of three years, with 8.33% of the grant vesting each quarter, subject to Mr. Druker continuing to be employed by the group on the applicable vesting date. The PSUs vest gradually over a period of three years, with 33.33% of each grant vesting each year, subject to (i) Mr. Druker continuing to be employed by the group on the applicable vesting date, and (ii) compliance with performance-based metrics as determined by the compensation committee. The vesting of the RSUs and PSUs shall accelerate in full automatically upon the consummation of a change in control of the Company.</w:t>
      </w:r>
    </w:p>
    <w:p>
      <w:pPr>
        <w:spacing w:after="0" w:line="19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i w:val="1"/>
          <w:iCs w:val="1"/>
          <w:color w:val="auto"/>
        </w:rPr>
        <w:t xml:space="preserve">Chief Operating Officer and Executive Director. </w:t>
      </w:r>
      <w:r>
        <w:rPr>
          <w:rFonts w:ascii="Arial" w:cs="Arial" w:eastAsia="Arial" w:hAnsi="Arial"/>
          <w:sz w:val="16"/>
          <w:szCs w:val="16"/>
          <w:color w:val="auto"/>
        </w:rPr>
        <w:t>Effective upon the closing, we will pay Yaniv Carmi, our Chief Operating Officer and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an annual base salary of $600,000, and he is eligible to an annual bonus equal to up to 80% of his annual base salary (or $480,000), subject to compliance with annual performance criteria to be determined by the compensation committee each year. Mr. Carmi is also entitled to a special bonus of</w:t>
      </w:r>
    </w:p>
    <w:p>
      <w:pPr>
        <w:spacing w:after="0" w:line="2"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$500,000 upon completion of this offering, and to a special bonus of £300,000 (or $ ) in the event of a company sale (or a pro rata portion in the case of a partial sale).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Our compensation committee, board of directors and shareholders approved to grant to Mr. Carmi, effective upon the closing of this offering, 1,155,000 RSUs and 495,000 PSUs pursuant to our 2017 Plan. The RSUs vest gradually over a period of three years, with 8.33% of the grant vesting each quarter, subject to Mr. Carmi continuing to be employed by the group on the applicable vesting date. The PSUs vest gradually over a period of three years, with 33.33% of each grant vesting each year, subject to (i) Mr. Carmi continuing to be employed by the group on the applicable vesting date, and (ii) compliance with performance-based metrics as determined by the compensation committee. The vesting of the RSUs and PSUs shall accelerate in full automatically upon the consummation of a change in control of the company.</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Chief Financial Officer and Executive Director</w:t>
      </w:r>
      <w:r>
        <w:rPr>
          <w:rFonts w:ascii="Arial" w:cs="Arial" w:eastAsia="Arial" w:hAnsi="Arial"/>
          <w:sz w:val="18"/>
          <w:szCs w:val="18"/>
          <w:color w:val="auto"/>
        </w:rPr>
        <w:t>. Effective upon the closing, we will pay Sagi Niri, our Chief Financial Officer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an annual base salary of NIS 1,200,000 (approximately $365,000), and he is eligible to an annual bonus equal to up to 82% of his annual base salary (or $300,000), subject to compliance with annual performance criteria to be determined by the compensation committee each year. Mr. Niri is also entitled to a special bonus of $500,000 upon completion of this offering.</w:t>
      </w:r>
    </w:p>
    <w:p>
      <w:pPr>
        <w:spacing w:after="0" w:line="18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Our compensation committee, board of directors and shareholders approved to grant to Mr. Niri, effective upon the closing of this offering, 945,000 RSUs and 405,000 PSUs pursuant to our Global Share Incentive Plan (2011), as amended (the “2011 Plan”). The RSUs vest gradually over a period of three years, with 8.33% of the grant vesting each quarter, subject to Mr. Niri continuing to be employed by the group on the applicable vesting date. The PSUs vest gradually over a period of three years, with 33.33% of each grant vesting each year, subject to (i) Mr. Niri continuing to be employed by the group on the applicable vesting date, and (ii) compliance with performance-based metrics as determined by the compensation committee. The vesting of the RSUs and PSUs shall accelerate in full automatically upon the consummation of a change in control of the company.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Auditor</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Fahn Kanne Control Management Ltd., Grant Thornton Israel, serves as our internal auditor.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w:t>
      </w:r>
      <w:r>
        <w:rPr>
          <w:rFonts w:ascii="Arial" w:cs="Arial" w:eastAsia="Arial" w:hAnsi="Arial"/>
          <w:sz w:val="17"/>
          <w:szCs w:val="17"/>
          <w:i w:val="1"/>
          <w:iCs w:val="1"/>
          <w:color w:val="auto"/>
        </w:rPr>
        <w:t>Management—Executive Officers and Directors</w:t>
      </w:r>
      <w:r>
        <w:rPr>
          <w:rFonts w:ascii="Arial" w:cs="Arial" w:eastAsia="Arial" w:hAnsi="Arial"/>
          <w:sz w:val="17"/>
          <w:szCs w:val="17"/>
          <w:color w:val="auto"/>
        </w:rPr>
        <w:t>” is an office holder under the Companies Law.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89" w:lineRule="exact"/>
        <w:rPr>
          <w:sz w:val="20"/>
          <w:szCs w:val="20"/>
          <w:color w:val="auto"/>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information on the business advisability of a given action brought for his, her or its approval or performed by virtue of his, her or its position;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duty of loyalty requires that an office holder act in good faith and in the best interests of the company, and includes, among other things, the duty to:</w:t>
      </w:r>
    </w:p>
    <w:p>
      <w:pPr>
        <w:spacing w:after="0" w:line="76" w:lineRule="exact"/>
        <w:rPr>
          <w:sz w:val="20"/>
          <w:szCs w:val="20"/>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her or its duties in the company and his, her or its other duties or personal affairs;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herself or itself or others;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her or its position as an office holder.</w:t>
      </w:r>
    </w:p>
    <w:p>
      <w:pPr>
        <w:spacing w:after="0" w:line="170"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 holder’s vote on behalf of a person for whom he or she holds a proxy even if such shareholder has no personal interest in the matter.</w:t>
      </w:r>
    </w:p>
    <w:p>
      <w:pPr>
        <w:spacing w:after="0" w:line="19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7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19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 for these purposes.</w:t>
      </w:r>
    </w:p>
    <w:p>
      <w:pPr>
        <w:spacing w:after="0" w:line="16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a description of the approvals required under Israeli law for compensation arrangements of officers and directors, see “—</w:t>
      </w:r>
      <w:r>
        <w:rPr>
          <w:rFonts w:ascii="Arial" w:cs="Arial" w:eastAsia="Arial" w:hAnsi="Arial"/>
          <w:sz w:val="18"/>
          <w:szCs w:val="18"/>
          <w:i w:val="1"/>
          <w:iCs w:val="1"/>
          <w:color w:val="auto"/>
        </w:rPr>
        <w:t>Compensation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8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interested party transactions that require shareholder approval.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a shareholder has a general duty to refrain from discriminating against other shareholders.</w:t>
      </w:r>
    </w:p>
    <w:p>
      <w:pPr>
        <w:spacing w:after="0" w:line="22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Exculpation, Insurance and Indemnification of Office Holders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An Israeli company may not exculpate a director from liability arising out of a prohibited dividend or distribution to shareholders.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89" w:lineRule="exact"/>
        <w:rPr>
          <w:sz w:val="20"/>
          <w:szCs w:val="20"/>
          <w:color w:val="auto"/>
        </w:rPr>
      </w:pPr>
    </w:p>
    <w:p>
      <w:pPr>
        <w:jc w:val="both"/>
        <w:ind w:left="1080" w:hanging="532"/>
        <w:spacing w:after="0" w:line="296"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66"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97" w:lineRule="exact"/>
        <w:rPr>
          <w:rFonts w:ascii="Arial" w:cs="Arial" w:eastAsia="Arial" w:hAnsi="Arial"/>
          <w:sz w:val="18"/>
          <w:szCs w:val="18"/>
          <w:color w:val="auto"/>
        </w:rPr>
      </w:pPr>
    </w:p>
    <w:p>
      <w:pPr>
        <w:jc w:val="both"/>
        <w:ind w:left="1080" w:right="20" w:hanging="532"/>
        <w:spacing w:after="0" w:line="286"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70" w:lineRule="exact"/>
        <w:rPr>
          <w:rFonts w:ascii="Arial" w:cs="Arial" w:eastAsia="Arial" w:hAnsi="Arial"/>
          <w:sz w:val="17"/>
          <w:szCs w:val="17"/>
          <w:color w:val="auto"/>
        </w:rPr>
      </w:pPr>
    </w:p>
    <w:p>
      <w:pPr>
        <w:jc w:val="both"/>
        <w:ind w:left="1080" w:right="20" w:hanging="532"/>
        <w:spacing w:after="0" w:line="31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14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76" w:lineRule="exact"/>
        <w:rPr>
          <w:sz w:val="20"/>
          <w:szCs w:val="20"/>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prejudice the company;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breach of the duty of care to the company or to a third-party, including a breach arising out of the negligent conduct of the office holder;</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financial liability imposed on the office holder in favor of a third-party harmed by a breach in an administrative proceeding; and</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31" w:lineRule="exact"/>
        <w:rPr>
          <w:sz w:val="20"/>
          <w:szCs w:val="20"/>
          <w:color w:val="auto"/>
        </w:rPr>
      </w:pPr>
    </w:p>
    <w:p>
      <w:pPr>
        <w:ind w:left="108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 holder;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fine, monetary sanction or forfeit levied against the office holder.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8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The maximum indemnification amount set forth in such agreements is limited to an amount equal to the higher of $50 million and 25% of our total shareholders’ equity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16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and Consulting Agreements with Executive Officers</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maintain the 2011 Plan, under which we may grant equity based incentive awards to attract, motivate and retain the talent for which we compete.</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2011 Plan is administered by our board of directors with the assistance of the compensation committee, and provides for the grant of options, restricted shares and restricted share units.</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2011 Plan provides for granting awards under various tax regimes, including, without limitation, in compliance with Section 102 of the Israeli Income Tax Ordinance (New Version), 5721-1961 (the “Ordinance”).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Section 102 of the Ordinance allows employees, directors and officers who are not controlling shareholders and are considered Israeli residents to receive favorable tax treatment for compensation in the form of shares, restricted share units or options, subject to the terms and conditions set forth in the Ordinance. Our non-employee service providers and controlling shareholders may only be granted awards under section 3(i) of the Ordinance, which does not provide for similar tax benefits.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maintain the 2017 Plan under which we may grant equity based incentive awards to attract, motivate and retain the talent for which we compete. The 2017 Plan is administered by our board of directors with the assistance of the compensation committee.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2017 Plan provides for granting awards under various tax regimes, including, without limitation, awards granted to our United States employees or service providers, including those who are deemed to be residents of the United States for tax purposes, Section 422 of the Code and Section 409A of the Code.</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2017 Plan provides for the grant of stock options (including incentive stock options and nonqualified stock options), restricted shares, restricted share units, performance bonus awards, performance units and performance shares. Options granted under the 2017 Plan to our employees who are U.S. residents may qualify as “incentive stock options” within the meaning of Section 422 of the Code, or may be non-qualified stock options.</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December 31, 2020, a total of 3,780,267 options to purchase ordinary shares, with a weighted average exercise price of £1.6 per share and 7,630,228 restricted share units were outstanding under the 2011 and 2017 Plans. As of December 31, 2020, 6,052,118 ordinary shares were available for future issuance under the 2011 and 2017 Plans.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91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7740" w:type="dxa"/>
            <w:vAlign w:val="bottom"/>
          </w:tcPr>
          <w:p>
            <w:pPr>
              <w:ind w:left="3000"/>
              <w:spacing w:after="0"/>
              <w:rPr>
                <w:sz w:val="20"/>
                <w:szCs w:val="20"/>
                <w:color w:val="auto"/>
              </w:rPr>
            </w:pPr>
            <w:r>
              <w:rPr>
                <w:rFonts w:ascii="Arial" w:cs="Arial" w:eastAsia="Arial" w:hAnsi="Arial"/>
                <w:sz w:val="18"/>
                <w:szCs w:val="18"/>
                <w:b w:val="1"/>
                <w:bCs w:val="1"/>
                <w:color w:val="auto"/>
              </w:rPr>
              <w:t>PRINCIPAL SHAREHOLDERS</w:t>
            </w:r>
          </w:p>
        </w:tc>
        <w:tc>
          <w:tcPr>
            <w:tcW w:w="2020" w:type="dxa"/>
            <w:vAlign w:val="bottom"/>
          </w:tcPr>
          <w:p>
            <w:pPr>
              <w:spacing w:after="0"/>
              <w:rPr>
                <w:sz w:val="24"/>
                <w:szCs w:val="24"/>
                <w:color w:val="auto"/>
              </w:rPr>
            </w:pPr>
          </w:p>
        </w:tc>
      </w:tr>
      <w:tr>
        <w:trPr>
          <w:trHeight w:val="418"/>
        </w:trPr>
        <w:tc>
          <w:tcPr>
            <w:tcW w:w="9100" w:type="dxa"/>
            <w:vAlign w:val="bottom"/>
            <w:gridSpan w:val="2"/>
          </w:tcPr>
          <w:p>
            <w:pPr>
              <w:ind w:left="560"/>
              <w:spacing w:after="0"/>
              <w:rPr>
                <w:sz w:val="20"/>
                <w:szCs w:val="20"/>
                <w:color w:val="auto"/>
              </w:rPr>
            </w:pPr>
            <w:r>
              <w:rPr>
                <w:rFonts w:ascii="Arial" w:cs="Arial" w:eastAsia="Arial" w:hAnsi="Arial"/>
                <w:sz w:val="18"/>
                <w:szCs w:val="18"/>
                <w:color w:val="auto"/>
                <w:w w:val="98"/>
              </w:rPr>
              <w:t>The following table sets forth information with respect to the beneficial ownership of our ordinary shares as of</w:t>
            </w:r>
          </w:p>
        </w:tc>
        <w:tc>
          <w:tcPr>
            <w:tcW w:w="2020" w:type="dxa"/>
            <w:vAlign w:val="bottom"/>
          </w:tcPr>
          <w:p>
            <w:pPr>
              <w:ind w:left="540"/>
              <w:spacing w:after="0"/>
              <w:rPr>
                <w:sz w:val="20"/>
                <w:szCs w:val="20"/>
                <w:color w:val="auto"/>
              </w:rPr>
            </w:pPr>
            <w:r>
              <w:rPr>
                <w:rFonts w:ascii="Arial" w:cs="Arial" w:eastAsia="Arial" w:hAnsi="Arial"/>
                <w:sz w:val="18"/>
                <w:szCs w:val="18"/>
                <w:color w:val="auto"/>
                <w:w w:val="87"/>
              </w:rPr>
              <w:t>, 2021 as adjusted to</w:t>
            </w:r>
          </w:p>
        </w:tc>
      </w:tr>
      <w:tr>
        <w:trPr>
          <w:trHeight w:val="230"/>
        </w:trPr>
        <w:tc>
          <w:tcPr>
            <w:tcW w:w="9100" w:type="dxa"/>
            <w:vAlign w:val="bottom"/>
            <w:gridSpan w:val="2"/>
          </w:tcPr>
          <w:p>
            <w:pPr>
              <w:ind w:left="120"/>
              <w:spacing w:after="0"/>
              <w:rPr>
                <w:sz w:val="20"/>
                <w:szCs w:val="20"/>
                <w:color w:val="auto"/>
              </w:rPr>
            </w:pPr>
            <w:r>
              <w:rPr>
                <w:rFonts w:ascii="Arial" w:cs="Arial" w:eastAsia="Arial" w:hAnsi="Arial"/>
                <w:sz w:val="18"/>
                <w:szCs w:val="18"/>
                <w:color w:val="auto"/>
              </w:rPr>
              <w:t>reflect this offering, assuming no exercise of the underwriters’ option to purchase additional ADSs:</w:t>
            </w:r>
          </w:p>
        </w:tc>
        <w:tc>
          <w:tcPr>
            <w:tcW w:w="202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outstanding ordinary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The beneficial ownership of ordinary shares is determined in accordance with the SEC rules and generally includes any ordinary shares over which a person exercises sole or shared voting or investment power, which includes the power to dispose of or to direct the disposition of such security. For purposes of the table below, we deem shares subject to options or warrants that are currently exercisable or exercisable within 60 days of</w:t>
      </w:r>
    </w:p>
    <w:p>
      <w:pPr>
        <w:spacing w:after="0" w:line="2" w:lineRule="exact"/>
        <w:rPr>
          <w:sz w:val="20"/>
          <w:szCs w:val="20"/>
          <w:color w:val="auto"/>
        </w:rPr>
      </w:pPr>
    </w:p>
    <w:p>
      <w:pPr>
        <w:jc w:val="both"/>
        <w:ind w:left="120" w:right="20" w:firstLine="1109"/>
        <w:spacing w:after="0" w:line="277" w:lineRule="auto"/>
        <w:tabs>
          <w:tab w:leader="none" w:pos="1334" w:val="left"/>
        </w:tabs>
        <w:numPr>
          <w:ilvl w:val="0"/>
          <w:numId w:val="81"/>
        </w:numPr>
        <w:rPr>
          <w:rFonts w:ascii="Arial" w:cs="Arial" w:eastAsia="Arial" w:hAnsi="Arial"/>
          <w:sz w:val="17"/>
          <w:szCs w:val="17"/>
          <w:color w:val="auto"/>
        </w:rPr>
      </w:pPr>
      <w:r>
        <w:rPr>
          <w:rFonts w:ascii="Arial" w:cs="Arial" w:eastAsia="Arial" w:hAnsi="Arial"/>
          <w:sz w:val="17"/>
          <w:szCs w:val="17"/>
          <w:color w:val="auto"/>
        </w:rPr>
        <w:t>2021 to be outstanding and to be beneficially owned by the person holding the options or warrants for the purposes of computing the percentage ownership of that person but we do not treat them as outstanding for the purpose of computing the percentage ownership of any other person, except with respect to the ownership and percentage ownership of all executive officers and directors as a group.</w:t>
      </w:r>
    </w:p>
    <w:p>
      <w:pPr>
        <w:spacing w:after="0" w:line="17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percentage of shares beneficially owned after to the offering is based on ordinary shares outstanding as of , 2021 assuming (i) the issuance and sale of ADSs in this offering based on an assumed initial public offering price of $ per ADS which reflects the U.S. dollar equivalent of the closing price of our ordinary shares on AIM of £ on , 2021 (based on an assumed exchange rate of £1.00 to</w:t>
      </w:r>
    </w:p>
    <w:p>
      <w:pPr>
        <w:spacing w:after="0" w:line="3"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$1. ), (ii) after giving effect to the adoption of our amended and restated articles of associate prior to the closing of this offering, and (iii) further assuming that the underwriters do not exercise their option to purchase additional ADSs.</w:t>
      </w:r>
    </w:p>
    <w:p>
      <w:pPr>
        <w:spacing w:after="0" w:line="18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For a description of the voting rights attached to our ordinary shares, please see “</w:t>
      </w:r>
      <w:r>
        <w:rPr>
          <w:rFonts w:ascii="Arial" w:cs="Arial" w:eastAsia="Arial" w:hAnsi="Arial"/>
          <w:sz w:val="17"/>
          <w:szCs w:val="17"/>
          <w:i w:val="1"/>
          <w:iCs w:val="1"/>
          <w:color w:val="auto"/>
        </w:rPr>
        <w:t>Description of Share Capital and Articles of Association—Voting</w:t>
      </w:r>
      <w:r>
        <w:rPr>
          <w:rFonts w:ascii="Arial" w:cs="Arial" w:eastAsia="Arial" w:hAnsi="Arial"/>
          <w:sz w:val="17"/>
          <w:szCs w:val="17"/>
          <w:color w:val="auto"/>
        </w:rPr>
        <w:t xml:space="preserve"> </w:t>
      </w:r>
      <w:r>
        <w:rPr>
          <w:rFonts w:ascii="Arial" w:cs="Arial" w:eastAsia="Arial" w:hAnsi="Arial"/>
          <w:sz w:val="17"/>
          <w:szCs w:val="17"/>
          <w:i w:val="1"/>
          <w:iCs w:val="1"/>
          <w:color w:val="auto"/>
        </w:rPr>
        <w:t>Rights</w:t>
      </w:r>
      <w:r>
        <w:rPr>
          <w:rFonts w:ascii="Arial" w:cs="Arial" w:eastAsia="Arial" w:hAnsi="Arial"/>
          <w:sz w:val="17"/>
          <w:szCs w:val="17"/>
          <w:color w:val="auto"/>
        </w:rPr>
        <w:t>.” Unless otherwise noted below, each shareholder’s address is Hashmonaim 121, 2nd Floor, Tel Aviv, 6713328, Israel.</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affiliates within the past three years is included under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140" w:type="dxa"/>
            <w:vAlign w:val="bottom"/>
            <w:gridSpan w:val="4"/>
          </w:tcPr>
          <w:p>
            <w:pPr>
              <w:ind w:left="260"/>
              <w:spacing w:after="0"/>
              <w:rPr>
                <w:sz w:val="20"/>
                <w:szCs w:val="20"/>
                <w:color w:val="auto"/>
              </w:rPr>
            </w:pPr>
            <w:r>
              <w:rPr>
                <w:rFonts w:ascii="Arial" w:cs="Arial" w:eastAsia="Arial" w:hAnsi="Arial"/>
                <w:sz w:val="14"/>
                <w:szCs w:val="14"/>
                <w:b w:val="1"/>
                <w:bCs w:val="1"/>
                <w:color w:val="auto"/>
              </w:rPr>
              <w:t>Beneficial Ownership Before the</w:t>
            </w:r>
          </w:p>
        </w:tc>
        <w:tc>
          <w:tcPr>
            <w:tcW w:w="2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Beneficial Ownership After the</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Offering</w:t>
            </w:r>
          </w:p>
        </w:tc>
        <w:tc>
          <w:tcPr>
            <w:tcW w:w="8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tcBorders>
              <w:bottom w:val="single" w:sz="8" w:color="auto"/>
            </w:tcBorders>
            <w:gridSpan w:val="2"/>
          </w:tcPr>
          <w:p>
            <w:pPr>
              <w:jc w:val="center"/>
              <w:ind w:left="748"/>
              <w:spacing w:after="0"/>
              <w:rPr>
                <w:sz w:val="20"/>
                <w:szCs w:val="20"/>
                <w:color w:val="auto"/>
              </w:rPr>
            </w:pPr>
            <w:r>
              <w:rPr>
                <w:rFonts w:ascii="Arial" w:cs="Arial" w:eastAsia="Arial" w:hAnsi="Arial"/>
                <w:sz w:val="14"/>
                <w:szCs w:val="14"/>
                <w:b w:val="1"/>
                <w:bCs w:val="1"/>
                <w:color w:val="auto"/>
                <w:w w:val="95"/>
              </w:rPr>
              <w:t>Offering</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820" w:type="dxa"/>
            <w:vAlign w:val="bottom"/>
          </w:tcPr>
          <w:p>
            <w:pPr>
              <w:spacing w:after="0"/>
              <w:rPr>
                <w:sz w:val="12"/>
                <w:szCs w:val="12"/>
                <w:color w:val="auto"/>
              </w:rPr>
            </w:pPr>
          </w:p>
        </w:tc>
        <w:tc>
          <w:tcPr>
            <w:tcW w:w="1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Ordinary Shares</w:t>
            </w: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Voting Power</w:t>
            </w:r>
          </w:p>
        </w:tc>
        <w:tc>
          <w:tcPr>
            <w:tcW w:w="620" w:type="dxa"/>
            <w:vAlign w:val="bottom"/>
          </w:tcPr>
          <w:p>
            <w:pPr>
              <w:spacing w:after="0"/>
              <w:rPr>
                <w:sz w:val="12"/>
                <w:szCs w:val="12"/>
                <w:color w:val="auto"/>
              </w:rPr>
            </w:pPr>
          </w:p>
        </w:tc>
        <w:tc>
          <w:tcPr>
            <w:tcW w:w="1660" w:type="dxa"/>
            <w:vAlign w:val="bottom"/>
            <w:gridSpan w:val="2"/>
          </w:tcPr>
          <w:p>
            <w:pPr>
              <w:jc w:val="center"/>
              <w:ind w:right="620"/>
              <w:spacing w:after="0" w:line="142" w:lineRule="exact"/>
              <w:rPr>
                <w:sz w:val="20"/>
                <w:szCs w:val="20"/>
                <w:color w:val="auto"/>
              </w:rPr>
            </w:pPr>
            <w:r>
              <w:rPr>
                <w:rFonts w:ascii="Arial" w:cs="Arial" w:eastAsia="Arial" w:hAnsi="Arial"/>
                <w:sz w:val="14"/>
                <w:szCs w:val="14"/>
                <w:b w:val="1"/>
                <w:bCs w:val="1"/>
                <w:color w:val="auto"/>
                <w:w w:val="95"/>
              </w:rPr>
              <w:t>Ordinary Shares</w:t>
            </w: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Voting Power</w:t>
            </w:r>
          </w:p>
        </w:tc>
        <w:tc>
          <w:tcPr>
            <w:tcW w:w="0" w:type="dxa"/>
            <w:vAlign w:val="bottom"/>
          </w:tcPr>
          <w:p>
            <w:pPr>
              <w:spacing w:after="0"/>
              <w:rPr>
                <w:sz w:val="1"/>
                <w:szCs w:val="1"/>
                <w:color w:val="auto"/>
              </w:rPr>
            </w:pPr>
          </w:p>
        </w:tc>
      </w:tr>
      <w:tr>
        <w:trPr>
          <w:trHeight w:val="133"/>
        </w:trPr>
        <w:tc>
          <w:tcPr>
            <w:tcW w:w="1620" w:type="dxa"/>
            <w:vAlign w:val="bottom"/>
            <w:tcBorders>
              <w:bottom w:val="single" w:sz="8" w:color="auto"/>
            </w:tcBorders>
            <w:vMerge w:val="continue"/>
          </w:tcPr>
          <w:p>
            <w:pPr>
              <w:spacing w:after="0"/>
              <w:rPr>
                <w:sz w:val="11"/>
                <w:szCs w:val="11"/>
                <w:color w:val="auto"/>
              </w:rPr>
            </w:pPr>
          </w:p>
        </w:tc>
        <w:tc>
          <w:tcPr>
            <w:tcW w:w="2820" w:type="dxa"/>
            <w:vAlign w:val="bottom"/>
          </w:tcPr>
          <w:p>
            <w:pPr>
              <w:spacing w:after="0"/>
              <w:rPr>
                <w:sz w:val="11"/>
                <w:szCs w:val="11"/>
                <w:color w:val="auto"/>
              </w:rPr>
            </w:pPr>
          </w:p>
        </w:tc>
        <w:tc>
          <w:tcPr>
            <w:tcW w:w="104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1"/>
                <w:szCs w:val="11"/>
                <w:color w:val="auto"/>
              </w:rPr>
            </w:pPr>
          </w:p>
        </w:tc>
        <w:tc>
          <w:tcPr>
            <w:tcW w:w="860" w:type="dxa"/>
            <w:vAlign w:val="bottom"/>
            <w:tcBorders>
              <w:top w:val="single" w:sz="8" w:color="auto"/>
            </w:tcBorders>
          </w:tcPr>
          <w:p>
            <w:pPr>
              <w:jc w:val="right"/>
              <w:ind w:right="288"/>
              <w:spacing w:after="0" w:line="12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Number</w:t>
            </w:r>
          </w:p>
        </w:tc>
        <w:tc>
          <w:tcPr>
            <w:tcW w:w="620" w:type="dxa"/>
            <w:vAlign w:val="bottom"/>
          </w:tcPr>
          <w:p>
            <w:pPr>
              <w:spacing w:after="0"/>
              <w:rPr>
                <w:sz w:val="11"/>
                <w:szCs w:val="11"/>
                <w:color w:val="auto"/>
              </w:rPr>
            </w:pPr>
          </w:p>
        </w:tc>
        <w:tc>
          <w:tcPr>
            <w:tcW w:w="840" w:type="dxa"/>
            <w:vAlign w:val="bottom"/>
            <w:tcBorders>
              <w:top w:val="single" w:sz="8" w:color="auto"/>
            </w:tcBorders>
          </w:tcPr>
          <w:p>
            <w:pPr>
              <w:jc w:val="right"/>
              <w:ind w:right="288"/>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Mithaq Capital</w:t>
      </w:r>
      <w:r>
        <w:rPr>
          <w:rFonts w:ascii="Arial" w:cs="Arial" w:eastAsia="Arial" w:hAnsi="Arial"/>
          <w:sz w:val="15"/>
          <w:szCs w:val="15"/>
          <w:color w:val="auto"/>
        </w:rPr>
        <w:t>(1)</w:t>
      </w:r>
      <w:r>
        <w:rPr>
          <w:rFonts w:ascii="Arial" w:cs="Arial" w:eastAsia="Arial" w:hAnsi="Arial"/>
          <w:sz w:val="18"/>
          <w:szCs w:val="18"/>
          <w:color w:val="auto"/>
        </w:rPr>
        <w: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Toscafund Asset Management</w:t>
      </w:r>
      <w:r>
        <w:rPr>
          <w:rFonts w:ascii="Arial" w:cs="Arial" w:eastAsia="Arial" w:hAnsi="Arial"/>
          <w:sz w:val="15"/>
          <w:szCs w:val="15"/>
          <w:color w:val="auto"/>
        </w:rPr>
        <w:t>(2)</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Schroder Investment Management </w:t>
      </w:r>
      <w:r>
        <w:rPr>
          <w:rFonts w:ascii="Arial" w:cs="Arial" w:eastAsia="Arial" w:hAnsi="Arial"/>
          <w:sz w:val="15"/>
          <w:szCs w:val="15"/>
          <w:color w:val="auto"/>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News Corp</w:t>
      </w:r>
      <w:r>
        <w:rPr>
          <w:rFonts w:ascii="Arial" w:cs="Arial" w:eastAsia="Arial" w:hAnsi="Arial"/>
          <w:sz w:val="15"/>
          <w:szCs w:val="15"/>
          <w:color w:val="auto"/>
        </w:rPr>
        <w:t>(4)</w:t>
      </w:r>
      <w:r>
        <w:rPr>
          <w:rFonts w:ascii="Arial" w:cs="Arial" w:eastAsia="Arial" w:hAnsi="Arial"/>
          <w:sz w:val="18"/>
          <w:szCs w:val="18"/>
          <w:color w:val="auto"/>
        </w:rPr>
        <w: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Ofer Druker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5715</wp:posOffset>
            </wp:positionV>
            <wp:extent cx="642937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Sagi Niri</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Yaniv Carmi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5715</wp:posOffset>
            </wp:positionV>
            <wp:extent cx="642937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Rebekah Brooks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Norm Johnston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45"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Christopher Stibbs</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Neil Jones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Joanna Parnell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Lisa Klinger</w:t>
      </w:r>
    </w:p>
    <w:p>
      <w:pPr>
        <w:spacing w:after="0" w:line="9" w:lineRule="exact"/>
        <w:rPr>
          <w:sz w:val="20"/>
          <w:szCs w:val="20"/>
          <w:color w:val="auto"/>
        </w:rPr>
      </w:pPr>
    </w:p>
    <w:p>
      <w:pPr>
        <w:ind w:left="740" w:hanging="179"/>
        <w:spacing w:after="0" w:line="260" w:lineRule="auto"/>
        <w:rPr>
          <w:sz w:val="20"/>
          <w:szCs w:val="20"/>
          <w:color w:val="auto"/>
        </w:rPr>
      </w:pPr>
      <w:r>
        <w:rPr>
          <w:rFonts w:ascii="Arial" w:cs="Arial" w:eastAsia="Arial" w:hAnsi="Arial"/>
          <w:sz w:val="18"/>
          <w:szCs w:val="18"/>
          <w:b w:val="1"/>
          <w:bCs w:val="1"/>
          <w:color w:val="auto"/>
        </w:rPr>
        <w:t>All executive officers and directors as a group (9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1"/>
              </w:rPr>
              <w:t>Beneficial Ownership Before the</w:t>
            </w:r>
          </w:p>
        </w:tc>
        <w:tc>
          <w:tcPr>
            <w:tcW w:w="25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Beneficial Ownership After the</w:t>
            </w:r>
          </w:p>
        </w:tc>
      </w:tr>
      <w:tr>
        <w:trPr>
          <w:trHeight w:val="171"/>
        </w:trPr>
        <w:tc>
          <w:tcPr>
            <w:tcW w:w="1760" w:type="dxa"/>
            <w:vAlign w:val="bottom"/>
            <w:tcBorders>
              <w:bottom w:val="single" w:sz="8" w:color="auto"/>
            </w:tcBorders>
            <w:gridSpan w:val="2"/>
          </w:tcPr>
          <w:p>
            <w:pPr>
              <w:jc w:val="center"/>
              <w:ind w:left="788"/>
              <w:spacing w:after="0"/>
              <w:rPr>
                <w:sz w:val="20"/>
                <w:szCs w:val="20"/>
                <w:color w:val="auto"/>
              </w:rPr>
            </w:pPr>
            <w:r>
              <w:rPr>
                <w:rFonts w:ascii="Arial" w:cs="Arial" w:eastAsia="Arial" w:hAnsi="Arial"/>
                <w:sz w:val="14"/>
                <w:szCs w:val="14"/>
                <w:b w:val="1"/>
                <w:bCs w:val="1"/>
                <w:color w:val="auto"/>
                <w:w w:val="99"/>
              </w:rPr>
              <w:t>Offering</w:t>
            </w:r>
          </w:p>
        </w:tc>
        <w:tc>
          <w:tcPr>
            <w:tcW w:w="8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Offering</w:t>
            </w:r>
          </w:p>
        </w:tc>
        <w:tc>
          <w:tcPr>
            <w:tcW w:w="840" w:type="dxa"/>
            <w:vAlign w:val="bottom"/>
            <w:tcBorders>
              <w:bottom w:val="single" w:sz="8" w:color="auto"/>
            </w:tcBorders>
          </w:tcPr>
          <w:p>
            <w:pPr>
              <w:spacing w:after="0"/>
              <w:rPr>
                <w:sz w:val="14"/>
                <w:szCs w:val="14"/>
                <w:color w:val="auto"/>
              </w:rPr>
            </w:pPr>
          </w:p>
        </w:tc>
      </w:tr>
      <w:tr>
        <w:trPr>
          <w:trHeight w:val="142"/>
        </w:trPr>
        <w:tc>
          <w:tcPr>
            <w:tcW w:w="176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3"/>
              </w:rPr>
              <w:t>Ordinary Shares</w:t>
            </w: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Voting Power</w:t>
            </w:r>
          </w:p>
        </w:tc>
        <w:tc>
          <w:tcPr>
            <w:tcW w:w="700" w:type="dxa"/>
            <w:vAlign w:val="bottom"/>
          </w:tcPr>
          <w:p>
            <w:pPr>
              <w:spacing w:after="0"/>
              <w:rPr>
                <w:sz w:val="12"/>
                <w:szCs w:val="12"/>
                <w:color w:val="auto"/>
              </w:rPr>
            </w:pPr>
          </w:p>
        </w:tc>
        <w:tc>
          <w:tcPr>
            <w:tcW w:w="174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5"/>
              </w:rPr>
              <w:t>Ordinary Shares</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Voting Power</w:t>
            </w:r>
          </w:p>
        </w:tc>
      </w:tr>
      <w:tr>
        <w:trPr>
          <w:trHeight w:val="142"/>
        </w:trPr>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7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7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-942340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-7620</wp:posOffset>
            </wp:positionV>
            <wp:extent cx="642937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266065</wp:posOffset>
            </wp:positionV>
            <wp:extent cx="6429375"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540385</wp:posOffset>
            </wp:positionV>
            <wp:extent cx="6429375" cy="274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29375" cy="274320"/>
                    </a:xfrm>
                    <a:prstGeom prst="rect">
                      <a:avLst/>
                    </a:prstGeom>
                    <a:noFill/>
                  </pic:spPr>
                </pic:pic>
              </a:graphicData>
            </a:graphic>
          </wp:anchor>
        </w:drawing>
      </w:r>
    </w:p>
    <w:p>
      <w:pPr>
        <w:spacing w:after="0" w:line="1389" w:lineRule="exact"/>
        <w:rPr>
          <w:sz w:val="20"/>
          <w:szCs w:val="20"/>
          <w:color w:val="auto"/>
        </w:rPr>
      </w:pPr>
    </w:p>
    <w:p>
      <w:pPr>
        <w:sectPr>
          <w:pgSz w:w="11900" w:h="16838" w:orient="portrait"/>
          <w:cols w:equalWidth="0" w:num="2">
            <w:col w:w="4060" w:space="680"/>
            <w:col w:w="5900"/>
          </w:cols>
          <w:pgMar w:left="320" w:top="459" w:right="939" w:bottom="1440" w:gutter="0" w:footer="0" w:header="0"/>
        </w:sectPr>
      </w:pP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Indicates ownership of less than 1%.</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(1)</w:t>
            </w:r>
          </w:p>
        </w:tc>
        <w:tc>
          <w:tcPr>
            <w:tcW w:w="1220" w:type="dxa"/>
            <w:vAlign w:val="bottom"/>
          </w:tcPr>
          <w:p>
            <w:pPr>
              <w:ind w:left="100"/>
              <w:spacing w:after="0"/>
              <w:rPr>
                <w:sz w:val="20"/>
                <w:szCs w:val="20"/>
                <w:color w:val="auto"/>
              </w:rPr>
            </w:pPr>
            <w:r>
              <w:rPr>
                <w:rFonts w:ascii="Arial" w:cs="Arial" w:eastAsia="Arial" w:hAnsi="Arial"/>
                <w:sz w:val="18"/>
                <w:szCs w:val="18"/>
                <w:color w:val="auto"/>
              </w:rPr>
              <w:t>Represents</w:t>
            </w:r>
          </w:p>
        </w:tc>
        <w:tc>
          <w:tcPr>
            <w:tcW w:w="5700" w:type="dxa"/>
            <w:vAlign w:val="bottom"/>
          </w:tcPr>
          <w:p>
            <w:pPr>
              <w:ind w:left="300"/>
              <w:spacing w:after="0"/>
              <w:rPr>
                <w:sz w:val="20"/>
                <w:szCs w:val="20"/>
                <w:color w:val="auto"/>
              </w:rPr>
            </w:pPr>
            <w:r>
              <w:rPr>
                <w:rFonts w:ascii="Arial" w:cs="Arial" w:eastAsia="Arial" w:hAnsi="Arial"/>
                <w:sz w:val="18"/>
                <w:szCs w:val="18"/>
                <w:color w:val="auto"/>
              </w:rPr>
              <w:t>ordinary shares held by Mithaq Capital (“Mithaq”).</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1220" w:type="dxa"/>
            <w:vAlign w:val="bottom"/>
          </w:tcPr>
          <w:p>
            <w:pPr>
              <w:ind w:left="100"/>
              <w:spacing w:after="0"/>
              <w:rPr>
                <w:sz w:val="20"/>
                <w:szCs w:val="20"/>
                <w:color w:val="auto"/>
              </w:rPr>
            </w:pPr>
            <w:r>
              <w:rPr>
                <w:rFonts w:ascii="Arial" w:cs="Arial" w:eastAsia="Arial" w:hAnsi="Arial"/>
                <w:sz w:val="18"/>
                <w:szCs w:val="18"/>
                <w:color w:val="auto"/>
              </w:rPr>
              <w:t>Represents</w:t>
            </w:r>
          </w:p>
        </w:tc>
        <w:tc>
          <w:tcPr>
            <w:tcW w:w="5700" w:type="dxa"/>
            <w:vAlign w:val="bottom"/>
          </w:tcPr>
          <w:p>
            <w:pPr>
              <w:ind w:left="300"/>
              <w:spacing w:after="0"/>
              <w:rPr>
                <w:sz w:val="20"/>
                <w:szCs w:val="20"/>
                <w:color w:val="auto"/>
              </w:rPr>
            </w:pPr>
            <w:r>
              <w:rPr>
                <w:rFonts w:ascii="Arial" w:cs="Arial" w:eastAsia="Arial" w:hAnsi="Arial"/>
                <w:sz w:val="18"/>
                <w:szCs w:val="18"/>
                <w:color w:val="auto"/>
                <w:w w:val="90"/>
              </w:rPr>
              <w:t>ordinary shares held by Toscafund Asset Management LLP (“Toscafund”).</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1220" w:type="dxa"/>
            <w:vAlign w:val="bottom"/>
          </w:tcPr>
          <w:p>
            <w:pPr>
              <w:ind w:left="100"/>
              <w:spacing w:after="0"/>
              <w:rPr>
                <w:sz w:val="20"/>
                <w:szCs w:val="20"/>
                <w:color w:val="auto"/>
              </w:rPr>
            </w:pPr>
            <w:r>
              <w:rPr>
                <w:rFonts w:ascii="Arial" w:cs="Arial" w:eastAsia="Arial" w:hAnsi="Arial"/>
                <w:sz w:val="18"/>
                <w:szCs w:val="18"/>
                <w:color w:val="auto"/>
              </w:rPr>
              <w:t>Represents</w:t>
            </w:r>
          </w:p>
        </w:tc>
        <w:tc>
          <w:tcPr>
            <w:tcW w:w="5700" w:type="dxa"/>
            <w:vAlign w:val="bottom"/>
          </w:tcPr>
          <w:p>
            <w:pPr>
              <w:ind w:left="300"/>
              <w:spacing w:after="0"/>
              <w:rPr>
                <w:sz w:val="20"/>
                <w:szCs w:val="20"/>
                <w:color w:val="auto"/>
              </w:rPr>
            </w:pPr>
            <w:r>
              <w:rPr>
                <w:rFonts w:ascii="Arial" w:cs="Arial" w:eastAsia="Arial" w:hAnsi="Arial"/>
                <w:sz w:val="18"/>
                <w:szCs w:val="18"/>
                <w:color w:val="auto"/>
                <w:w w:val="93"/>
              </w:rPr>
              <w:t>ordinary shares held by Schroder Investment Management (“Schroder”).</w:t>
            </w:r>
          </w:p>
        </w:tc>
      </w:tr>
      <w:tr>
        <w:trPr>
          <w:trHeight w:val="230"/>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(4)</w:t>
            </w:r>
          </w:p>
        </w:tc>
        <w:tc>
          <w:tcPr>
            <w:tcW w:w="1220" w:type="dxa"/>
            <w:vAlign w:val="bottom"/>
          </w:tcPr>
          <w:p>
            <w:pPr>
              <w:ind w:left="100"/>
              <w:spacing w:after="0"/>
              <w:rPr>
                <w:sz w:val="20"/>
                <w:szCs w:val="20"/>
                <w:color w:val="auto"/>
              </w:rPr>
            </w:pPr>
            <w:r>
              <w:rPr>
                <w:rFonts w:ascii="Arial" w:cs="Arial" w:eastAsia="Arial" w:hAnsi="Arial"/>
                <w:sz w:val="18"/>
                <w:szCs w:val="18"/>
                <w:color w:val="auto"/>
              </w:rPr>
              <w:t>Represents</w:t>
            </w:r>
          </w:p>
        </w:tc>
        <w:tc>
          <w:tcPr>
            <w:tcW w:w="5700" w:type="dxa"/>
            <w:vAlign w:val="bottom"/>
          </w:tcPr>
          <w:p>
            <w:pPr>
              <w:ind w:left="300"/>
              <w:spacing w:after="0"/>
              <w:rPr>
                <w:sz w:val="20"/>
                <w:szCs w:val="20"/>
                <w:color w:val="auto"/>
              </w:rPr>
            </w:pPr>
            <w:r>
              <w:rPr>
                <w:rFonts w:ascii="Arial" w:cs="Arial" w:eastAsia="Arial" w:hAnsi="Arial"/>
                <w:sz w:val="18"/>
                <w:szCs w:val="18"/>
                <w:color w:val="auto"/>
              </w:rPr>
              <w:t>ordinary shares held by News Corp (“News Corp”).</w:t>
            </w:r>
          </w:p>
        </w:tc>
      </w:tr>
      <w:tr>
        <w:trPr>
          <w:trHeight w:val="365"/>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00" w:type="dxa"/>
            <w:vAlign w:val="bottom"/>
          </w:tcPr>
          <w:p>
            <w:pPr>
              <w:ind w:left="3820"/>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0640"/>
          </w:cols>
          <w:pgMar w:left="320" w:top="459" w:right="9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related party transactions since January 1, 2018.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entered into written employment agreements with each of our executive officers. See “</w:t>
      </w:r>
      <w:r>
        <w:rPr>
          <w:rFonts w:ascii="Arial" w:cs="Arial" w:eastAsia="Arial" w:hAnsi="Arial"/>
          <w:sz w:val="18"/>
          <w:szCs w:val="18"/>
          <w:i w:val="1"/>
          <w:iCs w:val="1"/>
          <w:color w:val="auto"/>
        </w:rPr>
        <w:t>Management—Employment and Consulting</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with Executive Officers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Awards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Since our inception, we have granted to our executive officers and certain of our directors restricted share units and options to purchase our ordinary shares. See “</w:t>
      </w:r>
      <w:r>
        <w:rPr>
          <w:rFonts w:ascii="Arial" w:cs="Arial" w:eastAsia="Arial" w:hAnsi="Arial"/>
          <w:sz w:val="18"/>
          <w:szCs w:val="18"/>
          <w:i w:val="1"/>
          <w:iCs w:val="1"/>
          <w:color w:val="auto"/>
        </w:rPr>
        <w:t>Management—Equity Incentive Plans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Exculpation, Indemnification and Insurance</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permit us to exculpate, indemnify and insure certain of our office holders to the fullest extent permitted by the Companies Law. 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See “</w:t>
      </w:r>
      <w:r>
        <w:rPr>
          <w:rFonts w:ascii="Arial" w:cs="Arial" w:eastAsia="Arial" w:hAnsi="Arial"/>
          <w:sz w:val="18"/>
          <w:szCs w:val="18"/>
          <w:i w:val="1"/>
          <w:iCs w:val="1"/>
          <w:color w:val="auto"/>
        </w:rPr>
        <w:t>Management—Exculpation, Insurance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Indemnification of Office Holders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Our board of directors intends to adopt a written related party transaction policy, to be effective upon the closing of this offering, to set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following is a description of the material terms of our amended and restated articles of association to be effective upon the closing of this offering. The following descriptions of share capital and provisions of our amended and restated articles of association to be effective upon the closing of this offering are summaries and are qualified by reference to our amended and restated articles of association to be effective upon the closing of this offering, a copy of which is filed with the SEC as an exhibit to the registration statement of which this prospectus forms a part. The description of the ordinary shares reflects changes to our capital structure that will occur upon the closing of this offering.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ectPr>
          <w:pgSz w:w="11900" w:h="16838" w:orient="portrait"/>
          <w:cols w:equalWidth="0" w:num="1">
            <w:col w:w="11140"/>
          </w:cols>
          <w:pgMar w:left="320" w:top="459" w:right="43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which</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Our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 w:hanging="147"/>
        <w:spacing w:after="0" w:line="277" w:lineRule="auto"/>
        <w:rPr>
          <w:sz w:val="20"/>
          <w:szCs w:val="20"/>
          <w:color w:val="auto"/>
        </w:rPr>
      </w:pPr>
      <w:r>
        <w:rPr>
          <w:rFonts w:ascii="Arial" w:cs="Arial" w:eastAsia="Arial" w:hAnsi="Arial"/>
          <w:sz w:val="18"/>
          <w:szCs w:val="18"/>
          <w:color w:val="auto"/>
        </w:rPr>
        <w:t>authorized share capital upon the closing of this offering will consist of 500,000,000 ordinary shares, par value NIS 0.01, of shares will be issued and outstanding.</w:t>
      </w:r>
    </w:p>
    <w:p>
      <w:pPr>
        <w:spacing w:after="0" w:line="170" w:lineRule="exact"/>
        <w:rPr>
          <w:sz w:val="20"/>
          <w:szCs w:val="20"/>
          <w:color w:val="auto"/>
        </w:rPr>
      </w:pPr>
    </w:p>
    <w:p>
      <w:pPr>
        <w:sectPr>
          <w:pgSz w:w="11900" w:h="16838" w:orient="portrait"/>
          <w:cols w:equalWidth="0" w:num="3">
            <w:col w:w="560" w:space="0"/>
            <w:col w:w="280" w:space="260"/>
            <w:col w:w="10040"/>
          </w:cols>
          <w:pgMar w:left="320" w:top="459" w:right="439" w:bottom="1440" w:gutter="0" w:footer="0" w:header="0"/>
          <w:type w:val="continuous"/>
        </w:sectPr>
      </w:pPr>
    </w:p>
    <w:p>
      <w:pPr>
        <w:jc w:val="both"/>
        <w:ind w:left="120" w:right="20" w:firstLine="440"/>
        <w:spacing w:after="0" w:line="263" w:lineRule="auto"/>
        <w:rPr>
          <w:sz w:val="20"/>
          <w:szCs w:val="20"/>
          <w:color w:val="auto"/>
        </w:rPr>
      </w:pPr>
      <w:r>
        <w:rPr>
          <w:rFonts w:ascii="Arial" w:cs="Arial" w:eastAsia="Arial" w:hAnsi="Arial"/>
          <w:sz w:val="18"/>
          <w:szCs w:val="18"/>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184" w:lineRule="exact"/>
        <w:rPr>
          <w:sz w:val="20"/>
          <w:szCs w:val="20"/>
          <w:color w:val="auto"/>
        </w:rPr>
      </w:pPr>
    </w:p>
    <w:p>
      <w:pPr>
        <w:ind w:left="560"/>
        <w:spacing w:after="0"/>
        <w:tabs>
          <w:tab w:leader="none" w:pos="1480" w:val="left"/>
          <w:tab w:leader="none" w:pos="306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2021, we had</w:t>
      </w:r>
      <w:r>
        <w:rPr>
          <w:sz w:val="20"/>
          <w:szCs w:val="20"/>
          <w:color w:val="auto"/>
        </w:rPr>
        <w:tab/>
      </w:r>
      <w:r>
        <w:rPr>
          <w:rFonts w:ascii="Arial" w:cs="Arial" w:eastAsia="Arial" w:hAnsi="Arial"/>
          <w:sz w:val="16"/>
          <w:szCs w:val="16"/>
          <w:color w:val="auto"/>
        </w:rPr>
        <w:t>holders of record of our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registered with the Israeli Registrar of Companies. Our registration number is 51-3956060. Our affairs are governed by our amended and restated articles of association, applicable Israeli law and the Companies Law. Our purpose as set forth in our amended and restated articles of association to be effective upon the closing of this offering is to engage in any lawful act or activity.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is customary for companies whose shares are traded on AIM, our amended and restated articles of association to be effective upon the closing of this offering provides that if our board of directors wishes to issue any additional ordinary shares or grant rights over ordinary shares (other than pursuant to an equity incentive plan and other specific events listed in the articles), it must first offer them to existing shareholders in proportion to their holdings. However, the articles also provide, that the shareholders by special resolution, may exclude preemptive rights generally or in respect of a specified share issuance.</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On April 30, 2021, in connection with this offering, our shareholders approved the exclusion of preemptive rights with respect to the issuance of up to 20,012,123 ordinary shares in this offering, representing approximately 15% of our issued and outstanding shares before this offering. The exclusion expires on July 31, 2022 or, if earlier, the conclusion of our 2022 annual general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Shares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amended and restated articles of association to be effective upon the closing of this offering, unless the transfer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6360" w:val="left"/>
        </w:tabs>
        <w:rPr>
          <w:sz w:val="20"/>
          <w:szCs w:val="20"/>
          <w:color w:val="auto"/>
        </w:rPr>
      </w:pPr>
      <w:r>
        <w:rPr>
          <w:rFonts w:ascii="Arial" w:cs="Arial" w:eastAsia="Arial" w:hAnsi="Arial"/>
          <w:sz w:val="18"/>
          <w:szCs w:val="18"/>
          <w:color w:val="auto"/>
        </w:rPr>
        <w:t>restricted or prohibited by another instrument, applicable law or the rules of</w:t>
      </w:r>
      <w:r>
        <w:rPr>
          <w:sz w:val="20"/>
          <w:szCs w:val="20"/>
          <w:color w:val="auto"/>
        </w:rPr>
        <w:tab/>
      </w:r>
      <w:r>
        <w:rPr>
          <w:rFonts w:ascii="Arial" w:cs="Arial" w:eastAsia="Arial" w:hAnsi="Arial"/>
          <w:sz w:val="16"/>
          <w:szCs w:val="16"/>
          <w:color w:val="auto"/>
        </w:rPr>
        <w:t>. The ownership or voting of our ordinary shares by non-residents</w:t>
      </w:r>
    </w:p>
    <w:p>
      <w:pPr>
        <w:spacing w:after="0" w:line="23"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of Israel is not restricted in any way by our amended and restated articles of association or the laws of the State of Israel, except for ownership by nationals of some countries that are, or have been, in a state of war with Israel.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Under our amended and restated articles of association to be effective upon the closing of this offering, our board of directors must consist of not less than four but no more than nine directors. Pursuant to our amended and restated articles of association to be effective upon the closing of this offering, each of our directors will be appointed pursuant to a method chosen by our board of directors, which may include the following methods:</w:t>
      </w:r>
    </w:p>
    <w:p>
      <w:pPr>
        <w:spacing w:after="0" w:line="2" w:lineRule="exact"/>
        <w:rPr>
          <w:sz w:val="20"/>
          <w:szCs w:val="20"/>
          <w:color w:val="auto"/>
        </w:rPr>
      </w:pPr>
    </w:p>
    <w:p>
      <w:pPr>
        <w:jc w:val="both"/>
        <w:ind w:left="120" w:hanging="4"/>
        <w:spacing w:after="0" w:line="268" w:lineRule="auto"/>
        <w:tabs>
          <w:tab w:leader="none" w:pos="351" w:val="left"/>
        </w:tabs>
        <w:numPr>
          <w:ilvl w:val="0"/>
          <w:numId w:val="83"/>
        </w:numPr>
        <w:rPr>
          <w:rFonts w:ascii="Arial" w:cs="Arial" w:eastAsia="Arial" w:hAnsi="Arial"/>
          <w:sz w:val="17"/>
          <w:szCs w:val="17"/>
          <w:color w:val="auto"/>
        </w:rPr>
      </w:pPr>
      <w:r>
        <w:rPr>
          <w:rFonts w:ascii="Arial" w:cs="Arial" w:eastAsia="Arial" w:hAnsi="Arial"/>
          <w:sz w:val="17"/>
          <w:szCs w:val="17"/>
          <w:color w:val="auto"/>
        </w:rPr>
        <w:t>election of competing slates of director nominees (determined in a manner approved by the board of directors) by a majority of the voting power represented at the annual meeting in person or by proxy and voting on such competing slates; (ii) election of individual directors by a plurality of the voting power represented at the annual meeting in person or by proxy and voting on the election of directors (which shall mean that the nominees receiving the largest number of “for” votes will be elected in the case of a contested election); (iii) election of each nominee by a majority of the voting power represented at the annual meeting in person or by proxy and voting on the election of directors, provided that if the number of such nominees exceeds the number of directors to be elected, then as among such nominees the election shall be by plurality of the voting power as described above, and (iv) such other method of voting as the board of directors deems appropriate, including use of a “universal proxy card” listing all nominees. In the event that our board of directors does not or is unable to make a determination on such matter, then the method described in clause (ii) above shall apply. In addition, our amended and restated articles of association to be effective upon the closing of this offering provide that vacancies on our board of directors may be filled by a vote of a simple majority of the directors then in office.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and Liquidation Rights</w:t>
      </w:r>
    </w:p>
    <w:p>
      <w:pPr>
        <w:spacing w:after="0" w:line="12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to be effective upon the closing of this offering do not require shareholder approval of a dividend distribution and provide that dividend distributions may be determined by our board of directors.</w:t>
      </w:r>
    </w:p>
    <w:p>
      <w:pPr>
        <w:spacing w:after="0" w:line="15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this offering, none of our shareholders will be entitled to registration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121" w:lineRule="exact"/>
        <w:rPr>
          <w:sz w:val="20"/>
          <w:szCs w:val="20"/>
          <w:color w:val="auto"/>
        </w:rPr>
      </w:pPr>
    </w:p>
    <w:p>
      <w:pPr>
        <w:jc w:val="both"/>
        <w:ind w:left="120" w:right="20" w:firstLine="440"/>
        <w:spacing w:after="0" w:line="285"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to be effective upon the closing of this offering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w:t>
      </w:r>
    </w:p>
    <w:p>
      <w:pPr>
        <w:spacing w:after="0" w:line="2" w:lineRule="exact"/>
        <w:rPr>
          <w:sz w:val="20"/>
          <w:szCs w:val="20"/>
          <w:color w:val="auto"/>
        </w:rPr>
      </w:pPr>
    </w:p>
    <w:p>
      <w:pPr>
        <w:jc w:val="both"/>
        <w:ind w:left="120" w:hanging="4"/>
        <w:spacing w:after="0" w:line="255" w:lineRule="auto"/>
        <w:tabs>
          <w:tab w:leader="none" w:pos="3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two or more of our directors, (ii) one-quarter or more of the serving members of our board of directors or (iii) one or more shareholders holding, in the aggregate, either (a) 5% or more of our outstanding issued shares and 1% or more of our outstanding voting power or (b) 5% or more of our outstanding voting power.</w:t>
      </w:r>
    </w:p>
    <w:p>
      <w:pPr>
        <w:spacing w:after="0" w:line="190"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Our amended and restated articles of association to be effective upon the closing of this offering contain procedural guidelines and disclosure items with respect to the submission of shareholder proposals for general meetings.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92"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appointment, terms of service or and termination of service of our auditors;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appointment of directors, including external directors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to be effective upon the closing of this offering, shareholders are not permitted to take action by way of written consent in lieu of a meeting.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our amended and restated articles of association to be effective upon the closing of this offering, holders of our ordinary shares have one vote for each ordinary share held on all matters submitted to a vote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before the shareholders at a general meeting of shareholders. The quorum required for our general meetings of shareholders consists of at least two shareholders present in person, by proxy or written ballot who hold or represent between them at least 25% of the total outstanding voting rights,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17" w:lineRule="exact"/>
        <w:rPr>
          <w:sz w:val="20"/>
          <w:szCs w:val="20"/>
          <w:color w:val="auto"/>
        </w:rPr>
      </w:pPr>
    </w:p>
    <w:p>
      <w:pPr>
        <w:jc w:val="both"/>
        <w:ind w:left="120" w:right="20" w:firstLine="440"/>
        <w:spacing w:after="0" w:line="288" w:lineRule="auto"/>
        <w:rPr>
          <w:sz w:val="20"/>
          <w:szCs w:val="20"/>
          <w:color w:val="auto"/>
        </w:rPr>
      </w:pPr>
      <w:r>
        <w:rPr>
          <w:rFonts w:ascii="Arial" w:cs="Arial" w:eastAsia="Arial" w:hAnsi="Arial"/>
          <w:sz w:val="16"/>
          <w:szCs w:val="16"/>
          <w:color w:val="auto"/>
        </w:rPr>
        <w:t>Our amended and restated articles of association to be effective upon the closing of this offering provide that all resolutions of our shareholders require a simple majority vote, unless otherwise required by the Companies Law or by our amended and restated articles of association to be effective upon the closing of this offering.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described above under “</w:t>
      </w:r>
      <w:r>
        <w:rPr>
          <w:rFonts w:ascii="Arial" w:cs="Arial" w:eastAsia="Arial" w:hAnsi="Arial"/>
          <w:sz w:val="16"/>
          <w:szCs w:val="16"/>
          <w:i w:val="1"/>
          <w:iCs w:val="1"/>
          <w:color w:val="auto"/>
        </w:rPr>
        <w:t>Management—Compensation Committee—Compensation Policy under the Companies Law</w:t>
      </w:r>
      <w:r>
        <w:rPr>
          <w:rFonts w:ascii="Arial" w:cs="Arial" w:eastAsia="Arial" w:hAnsi="Arial"/>
          <w:sz w:val="16"/>
          <w:szCs w:val="16"/>
          <w:color w:val="auto"/>
        </w:rPr>
        <w:t>.” Under our amended and restated articles of association to be effective upon the closing of this offering,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a majority of all classes of shares voting together as a single class at a shareholder meeting.</w:t>
      </w:r>
    </w:p>
    <w:p>
      <w:pPr>
        <w:spacing w:after="0" w:line="168"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Under our amended and restated articles of association to be effective upon the closing of this offering, the approval of the holders of at least 65% of the total voting power of our shareholders is generally required to remove any of our directors from office, to amend the provision requiring the approval of at least 65% of the total voting power of our shareholders to remove any of our directors from office, or certain other provisions regarding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a majority of the number of shareholders represented at the meeting and voting on the resolution, who hold at least 75% of the voting rights represented at the meeting and voting on the resolution.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to Corporate Records</w:t>
      </w:r>
    </w:p>
    <w:p>
      <w:pPr>
        <w:spacing w:after="0" w:line="12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 under Israeli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117"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17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third-parties in order to obtain a competing offer.</w:t>
      </w:r>
    </w:p>
    <w:p>
      <w:pPr>
        <w:spacing w:after="0" w:line="188"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14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7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6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reasonable concern that, as a result of the merger, the surviving company will be unable to satisfy the obligations of the merging company, and may further give instructions to secure the rights of creditors.</w:t>
      </w:r>
    </w:p>
    <w:p>
      <w:pPr>
        <w:spacing w:after="0" w:line="170"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Measures</w:t>
      </w:r>
    </w:p>
    <w:p>
      <w:pPr>
        <w:spacing w:after="0" w:line="12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The Companies Law allows us to create and issue shares having rights different from those attached to our ordinary shares, including shares providing certain preferred rights with respect to voting, distributions or other matters. As of the closing of this offering, no preferred shares will be authorized under our amended and restated articles of association to be effective upon the closing of this offering.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to be effective upon the closing of this offering, which requires the prior approval of the holders of a majority of the voting power attached to our issued and outstanding shares at a general meeting of our shareholders. The convening of the meeting, the shareholders entitled to participate and the vote required to be obtained at such a meeting will be subject to the requirements set forth in the Companies Law and our amended articles of association to be effective upon the closing of this offering, as described above in </w:t>
      </w:r>
      <w:r>
        <w:rPr>
          <w:rFonts w:ascii="Arial" w:cs="Arial" w:eastAsia="Arial" w:hAnsi="Arial"/>
          <w:sz w:val="16"/>
          <w:szCs w:val="16"/>
          <w:i w:val="1"/>
          <w:iCs w:val="1"/>
          <w:color w:val="auto"/>
        </w:rPr>
        <w:t>“—Shareholder Meetings</w:t>
      </w:r>
      <w:r>
        <w:rPr>
          <w:rFonts w:ascii="Arial" w:cs="Arial" w:eastAsia="Arial" w:hAnsi="Arial"/>
          <w:sz w:val="16"/>
          <w:szCs w:val="16"/>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Powers</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Pursuant to the Companies Law and our amended and restated articles of association to be effective upon the closing of this offering, our board of directors may exercise all powers and take all actions that are not required under law or under our amended and restated articles of association to be effective upon the closing of this offering to be exercised or taken by our shareholders, including the power to borrow money for company purposes.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provide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such Securities Act actions, and accordingly, both state and federal courts have jurisdiction to entertain such claims. While the federal forum provision in our amended and restated articles of association does not restrict the ability of our shareholders to bring claims under the Securities Act, we recognize that it may limit shareholders’ ability to bring a claim in the judicial forum that they find favorable and may increase certain litigation costs, which may discourage the filing of claims under the Securities Act against the Company, its directors and officers. However, the enforceability of similar forum provisions (including exclusive federal forum provisions for actions, suits or proceedings asserting a cause of action arising under the Securities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Act) in other companies’ organizational documents has been challenged in legal proceedings, and there is uncertainty as to whether courts would enforce the exclusive forum provisions in our amended and restated articles of association. If a court were to find the choice of forum provision contained in our amended and restated articles of association to be effective upon the closing of this offering to be inapplicable or unenforceable in an action, we may incur additional costs associated with resolving such action in other jurisdictions, which could materially adversely affect our business, financial condition and results of operations. We note that investors cannot waive compliance with the federal securities laws and the rules and regulations thereunder may have the effect of discouraging lawsuits against our directors and officers.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140"/>
          </w:cols>
          <w:pgMar w:left="320" w:top="459" w:right="43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transfer agent and registrar for our ordinary shares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 Its address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and its telephone number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4">
            <w:col w:w="4720" w:space="720"/>
            <w:col w:w="1060" w:space="720"/>
            <w:col w:w="2120" w:space="720"/>
            <w:col w:w="1080"/>
          </w:cols>
          <w:pgMar w:left="320" w:top="459" w:right="43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Listing</w:t>
      </w:r>
    </w:p>
    <w:p>
      <w:pPr>
        <w:sectPr>
          <w:pgSz w:w="11900" w:h="16838" w:orient="portrait"/>
          <w:cols w:equalWidth="0" w:num="1">
            <w:col w:w="11140"/>
          </w:cols>
          <w:pgMar w:left="320" w:top="459" w:right="439" w:bottom="1440" w:gutter="0" w:footer="0" w:header="0"/>
          <w:type w:val="continuous"/>
        </w:sectPr>
      </w:pPr>
    </w:p>
    <w:p>
      <w:pPr>
        <w:spacing w:after="0" w:line="144"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We intend to apply to have our ADSs listed on Stock Exchange, under the symbol “TRMR.”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under the symbol “TRMR.” Our ordinary shares trade on AIM, a market of the London</w:t>
      </w:r>
    </w:p>
    <w:p>
      <w:pPr>
        <w:spacing w:after="0" w:line="396" w:lineRule="exact"/>
        <w:rPr>
          <w:sz w:val="20"/>
          <w:szCs w:val="20"/>
          <w:color w:val="auto"/>
        </w:rPr>
      </w:pPr>
    </w:p>
    <w:p>
      <w:pPr>
        <w:sectPr>
          <w:pgSz w:w="11900" w:h="16838" w:orient="portrait"/>
          <w:cols w:equalWidth="0" w:num="2">
            <w:col w:w="4080" w:space="720"/>
            <w:col w:w="634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140"/>
          </w:cols>
          <w:pgMar w:left="320" w:top="459" w:right="4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DESCRIPTION OF AMERICAN DEPOSITARY SHARES</w:t>
      </w:r>
    </w:p>
    <w:p>
      <w:pPr>
        <w:spacing w:after="0" w:line="17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139"/>
          </w:cols>
          <w:pgMar w:left="320" w:top="459" w:right="1440"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Prior to this offering, there has been no public market in the United States for our ordinary shares or ADSs. Future sales of substantial amounts of our ADSs in the public market could adversely affect market prices prevailing from time to time. Furthermore, because only a limited number of ADSs will be available for sale shortly after this offering due to existing contractual and legal restrictions on resale as described below, there may be sales of substantial amounts of our ADSs in the public market after such restrictions lapse. This may adversely affect the prevailing market price of our ADSs and our ability to raise equity capital in the future.</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Following this offering, we will have an aggregate of ADSs outstanding (or approximately ADSs if the underwriters exercise their option to purchase additional ADSs from us in full). Our ADSs will be available for sale in the public market after the expiration or waiver of the lock-up agreements described below, subject to limitations imposed by U.S. securities laws on resale by our “affiliates” as that term is defined in Rule 144 under the Securities Act.</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expect that all of our ADSs being sold in this offering will be freely tradable without restriction or further registration under the Securities Act, unless purchased by “affiliates” as that term is defined under Rule 144 of the Securities Act described below. In addition, following this offering and the expiration or waiver of the lock-up agreements described below, ADSs issuable pursuant to awards granted under certain of our equity incentive plans will eventually be freely tradable in the public market.</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remaining ADSs that are not being sold in this offering, but which will be outstanding at the time this offering is complete, will be “restricted securities” as that phrase is defined in Rule 144. These ADSs will be eligible for sale into the public market under the provisions of Rule 144 commencing after the expiration of the restrictions under the lock-up agreements, subject in certain cases to volume restrictions discussed below under “—</w:t>
      </w:r>
      <w:r>
        <w:rPr>
          <w:rFonts w:ascii="Arial" w:cs="Arial" w:eastAsia="Arial" w:hAnsi="Arial"/>
          <w:sz w:val="18"/>
          <w:szCs w:val="18"/>
          <w:i w:val="1"/>
          <w:iCs w:val="1"/>
          <w:color w:val="auto"/>
        </w:rPr>
        <w:t>Rule 144</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 Up Agreements</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our executive officers and directors, and the holders of substantially all of our outstanding ordinary shares, have agreed not to offer, sell, agree to sell, directly or indirectly, or otherwise dispose of any ordinary shares or any securities convertible into or exchangeable for ordinary shares except for the ADSs offered in this offering without the prior written consent of RBC Capital Markets, LLC for a period of 180 days after the date of this 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In general, a person (or persons whose shares are aggregated) who has beneficially owned our ordinary shares or ADSs that are restricted securities within the meaning of Rule 144 of the Securities Act for at least six months would be entitled to sell such securities, provided that (1) such person is not deemed to have been one of our affiliates at the time of, or at any time during the 90 days preceding, a sale and (2) we are subject to, and in compliance with certain of, the Exchange Act periodic reporting requirements for at least 90 days before the sale. Persons who have beneficially owned our ordinary shares or ADSs that are restricted securities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83"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  of  the  number  of  our  ordinary  shares  then  outstanding,  in  the  form  of  ADSs  or  otherwise,  which  will  equal</w:t>
      </w:r>
    </w:p>
    <w:p>
      <w:pPr>
        <w:sectPr>
          <w:pgSz w:w="11900" w:h="16838" w:orient="portrait"/>
          <w:cols w:equalWidth="0" w:num="1">
            <w:col w:w="11140"/>
          </w:cols>
          <w:pgMar w:left="320" w:top="459" w:right="439" w:bottom="1440" w:gutter="0" w:footer="0" w:header="0"/>
        </w:sectPr>
      </w:pP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approximately</w:t>
      </w:r>
    </w:p>
    <w:p>
      <w:pPr>
        <w:spacing w:after="0" w:line="9"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6"/>
          <w:szCs w:val="16"/>
          <w:color w:val="auto"/>
        </w:rPr>
        <w:t>of</w:t>
      </w:r>
      <w:r>
        <w:rPr>
          <w:sz w:val="20"/>
          <w:szCs w:val="20"/>
          <w:color w:val="auto"/>
        </w:rPr>
        <w:tab/>
      </w:r>
      <w:r>
        <w:rPr>
          <w:rFonts w:ascii="Arial" w:cs="Arial" w:eastAsia="Arial" w:hAnsi="Arial"/>
          <w:sz w:val="16"/>
          <w:szCs w:val="16"/>
          <w:color w:val="auto"/>
        </w:rPr>
        <w:t>, 2021; or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immediately after closing of this offering based on the number of ordinary shares outstanding as</w:t>
      </w:r>
    </w:p>
    <w:p>
      <w:pPr>
        <w:spacing w:after="0" w:line="355" w:lineRule="exact"/>
        <w:rPr>
          <w:sz w:val="20"/>
          <w:szCs w:val="20"/>
          <w:color w:val="auto"/>
        </w:rPr>
      </w:pPr>
    </w:p>
    <w:p>
      <w:pPr>
        <w:sectPr>
          <w:pgSz w:w="11900" w:h="16838" w:orient="portrait"/>
          <w:cols w:equalWidth="0" w:num="2">
            <w:col w:w="2700" w:space="240"/>
            <w:col w:w="8200"/>
          </w:cols>
          <w:pgMar w:left="320" w:top="459" w:right="439" w:bottom="1440" w:gutter="0" w:footer="0" w:header="0"/>
          <w:type w:val="continuous"/>
        </w:sectPr>
      </w:pPr>
    </w:p>
    <w:p>
      <w:pPr>
        <w:ind w:left="1080" w:right="20" w:hanging="532"/>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average weekly trading volume of our ADSs on during the four calendar weeks preceding the filing of a notice on Form 144 with respect to the sale;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provided, in each case, that we are subject to, and in compliance with certain of,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 and RSUs</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Following the closing of this offering, we intend to file a registration statement on Form S-8 under the Securities Act to register ordinary shares reserved for issuance under our equity incentive plans. The registration statement on Form S-8 will become effective automatically upon filing. Ordinary shares issued upon exercise of a share option and vesting of restricted share units and registered under the Form S-8 registration statement will, subject to vesting provisions, and Rule 144 volume limitations applicable to our affiliates, be available for sale in the open market immediately after the 180-day lock up agreements expire. See “</w:t>
      </w:r>
      <w:r>
        <w:rPr>
          <w:rFonts w:ascii="Arial" w:cs="Arial" w:eastAsia="Arial" w:hAnsi="Arial"/>
          <w:sz w:val="17"/>
          <w:szCs w:val="17"/>
          <w:i w:val="1"/>
          <w:iCs w:val="1"/>
          <w:color w:val="auto"/>
        </w:rPr>
        <w:t>Management—Equity Incentive Plans</w:t>
      </w:r>
      <w:r>
        <w:rPr>
          <w:rFonts w:ascii="Arial" w:cs="Arial" w:eastAsia="Arial" w:hAnsi="Arial"/>
          <w:sz w:val="17"/>
          <w:szCs w:val="17"/>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ADSs. You should consult your own tax advisor concerning the tax consequences of your particular situation, as well as any tax consequences that may arise under the laws of any state, local, foreign or other taxing jurisdiction.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Israeli Tax Considerations</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following is a brief summary of the material Israeli tax laws applicable to us. This section also contains a discussion of material Israeli tax consequences concerning the ownership and disposition of our ADSs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Israeli companies are generally subject to corporate tax. The current corporate tax rate is 23%. Capital gains derived by an Israeli company are generally subject to the prevailing corporate tax rate.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Benefits and Grants for Research and Development</w:t>
      </w:r>
    </w:p>
    <w:p>
      <w:pPr>
        <w:spacing w:after="0" w:line="12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52"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research and development are carried out by or on behalf of the company seeking such tax deduction.</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Israeli Income Tax Ordinance (New Version), 5721-1961. Expenditures that do not qualify for this special deduction are deductible in equal amounts over three years.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From time to time we may apply to the Israel Innovation Authority for approval to allow a tax deduction for all research and development expenses during the year incurred. There can be no assurance that such request will be granted.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Digital Services Tax</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constantly examines the potential applicability of the digital services tax legislation on its activities in the various jurisdictions. In addition, the company studies the OECD Pillar I and Pillar II publications and their effect on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Non-Israeli Resident Shareholders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Gains Taxes</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Israeli capital gains tax is imposed on the disposition of capital assets by a non-Israeli resident if those assets (i) are located in Israel, (ii) are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 Generally, Real Capital Gain accrued by individuals on the sale of our ADSs will be taxed at the rate of 25%. However, if the shareholder is a “substantial shareholder” at the time of sale or at any time during the preceding 12- 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of 23% (in 2021).</w:t>
      </w:r>
    </w:p>
    <w:p>
      <w:pPr>
        <w:spacing w:after="0" w:line="186"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 non-Israeli resident who derives capital gains from the sale of shares of an Israeli resident company that were purchased after the company was listed for trading on a stock exchange outside of Israel will be exempt from Israeli capital gains tax so long as the shares were not held through a permanent establishment that the non-Israeli resident maintains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revenues or profits of such non-Israeli corporation, whether directly or indirectly.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such exemption is not applicable to a person whose gains from selling or disposing the shares are deemed to be business income.</w:t>
      </w:r>
    </w:p>
    <w:p>
      <w:pPr>
        <w:spacing w:after="0" w:line="24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during the relevant taxable year. In any such case, the sale, exchange or disposition of such shares would be subject to Israeli tax, to the extent applicable. However,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spacing w:after="0" w:line="17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Regardless of whether non-Israeli shareholders may be liable for Israeli capital gains tax on the sale of our ADSs, the payment of the consideration for such sale may be subject to withholding of Israeli tax at source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holders of our ADSs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in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b w:val="1"/>
          <w:bCs w:val="1"/>
          <w:i w:val="1"/>
          <w:iCs w:val="1"/>
          <w:color w:val="auto"/>
        </w:rPr>
        <w:t>Taxation on Receipt of Dividends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Non-Israeli residents (whether individuals or corporations) are generally subject to Israeli income tax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receipt of dividends paid on our ADSs at the rate of 25%, which tax will be withheld at source, unless relief is provided in an applicable tax treaty between Israel and the shareholder’s country of residence. However, if the shareholder who is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 Currently, we have a tax ruling from the Israeli Tax Authorities in place and effective until December 31, 2021, with respect to tax withheld from dividends paid on our ordinary shares traded on the AIM. Such tax ruling provides that foreign shareholders which are residents of a reciprocating state and are the beneficial owners of the dividend may approach the trustee (holding the tax withheld by us from such dividends until such tax is paid to the Israeli Tax Authorities) and request a reduction of the tax withheld according to the beneficial provisions of an income tax treaty between their country of residence and Israel, provided that certain required documents are provided to the trustee and that the application to the trustee is made by the 16</w:t>
      </w:r>
      <w:r>
        <w:rPr>
          <w:rFonts w:ascii="Arial" w:cs="Arial" w:eastAsia="Arial" w:hAnsi="Arial"/>
          <w:sz w:val="14"/>
          <w:szCs w:val="14"/>
          <w:color w:val="auto"/>
        </w:rPr>
        <w:t>th</w:t>
      </w:r>
      <w:r>
        <w:rPr>
          <w:rFonts w:ascii="Arial" w:cs="Arial" w:eastAsia="Arial" w:hAnsi="Arial"/>
          <w:sz w:val="17"/>
          <w:szCs w:val="17"/>
          <w:color w:val="auto"/>
        </w:rPr>
        <w:t xml:space="preserve"> day of following month. We may apply for such a ruling with respect to our ADSs as well.</w:t>
      </w:r>
    </w:p>
    <w:p>
      <w:pPr>
        <w:spacing w:after="0" w:line="18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However, a reduced tax rate may be provided under an applicable tax treaty. For example, under the United States-Israel Tax Treaty, the maximum rate of tax withheld at source in Israel on dividends paid to a holder of our ADSs who is a Treaty U.S. Resident is 25%. However, generally, the maximum rate of withholding tax on dividends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Surtax. </w:t>
      </w:r>
      <w:r>
        <w:rPr>
          <w:rFonts w:ascii="Arial" w:cs="Arial" w:eastAsia="Arial" w:hAnsi="Arial"/>
          <w:sz w:val="18"/>
          <w:szCs w:val="18"/>
          <w:color w:val="auto"/>
        </w:rPr>
        <w:t>Subject to the provisions of an applicable tax treaty, individuals who are subject to income tax in Israel (whether any such individual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Israeli resident or non-Israeli resident) are also subject to an additional tax at a rate of 3% on annual income (including, but not limited to, income derived from dividends, interest and capital gains) exceeding NIS 651,600 for 2020, which amount is linked to the annual change in the Israeli consumer price index.</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Estate and Gift Tax. </w:t>
      </w:r>
      <w:r>
        <w:rPr>
          <w:rFonts w:ascii="Arial" w:cs="Arial" w:eastAsia="Arial" w:hAnsi="Arial"/>
          <w:sz w:val="18"/>
          <w:szCs w:val="18"/>
          <w:color w:val="auto"/>
        </w:rPr>
        <w:t>Israeli law presently does not impose estate or gift taxes.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Industry (Taxes), 1969</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Law for the Encouragement of Industry (Taxes), 1969, generally referred to as the Industry Encouragement Law, provides several tax benefits for “Industry Companies.” We currently qualify as an Industrial Company within the meaning of the Industry Encouragement Law. The Industry Encouragement Law defines an “Industrial Company” as a company resident in Israel, of which 90% or more of its income in any tax year, other than income from defense loans, is derived from an “Industrial Enterprise” owned by it and located in Israel. An “Industrial Enterprise” is defined as an enterprise whose principal activity in a given tax year is industrial production. The following corporate tax benefits, among others, are available to Industrial Companies:</w:t>
      </w:r>
    </w:p>
    <w:p>
      <w:pPr>
        <w:spacing w:after="0" w:line="98" w:lineRule="exact"/>
        <w:rPr>
          <w:sz w:val="20"/>
          <w:szCs w:val="20"/>
          <w:color w:val="auto"/>
        </w:rPr>
      </w:pPr>
    </w:p>
    <w:p>
      <w:pPr>
        <w:ind w:left="108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a three-year period.</w:t>
      </w:r>
    </w:p>
    <w:p>
      <w:pPr>
        <w:spacing w:after="0" w:line="22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Eligibility for benefits under the Industry Encouragement Law is not contingent upon the approval of any governmental authority. The Israeli tax authorities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Capital Investments, 1959</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Law for the Encouragement of Capital Investments (the “Investments Law”) provides tax benefits for Israeli companies meeting certain requirements and criteria. The Investment Law has undergone certain amendments and reforms in recent years.</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Israeli parliament enacted a reform to the Investment Law, effective as of January 2011. According to the reform, a flat rate tax applies to companies eligible for the “Preferred Enterprise” status. In order to be eligible for Preferred Enterprise status, a company must meet minimum requirements to establish that it contributes to the country’s economic growth and is a competitive factor for the gross domestic product.</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On December 22, 2016 an Amendment to the Investments Law has been enacted and added new tax benefit tracks for a “preferred technological enterprise” and a “special preferred technological enterprise” that awards reduced tax rates to a technological industrial enterprise for the purpose of encouraging activity relating to the development of qualifying intangible assets.</w:t>
      </w:r>
    </w:p>
    <w:p>
      <w:pPr>
        <w:spacing w:after="0" w:line="184"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Preferred technological income that meets the conditions required by law, will be subject to a reduced corporate tax rate of 12%, and if the preferred technological enterprise is located in Development Area A to a tax rate of 7.5%. The Amendment is effective as of January 1, 2017.</w:t>
      </w:r>
    </w:p>
    <w:p>
      <w:pPr>
        <w:spacing w:after="0" w:line="14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Amendment also provides that no tax will apply to a dividend distributed out of preferred income of preferred technological enterprise to a shareholder that is an Israeli resident company. In addition, a tax rate of 20% shall apply to a dividend distributed out of preferred income preferred technological enterprise to an individual shareholder or foreign resident, subject to double taxation prevention treaties.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Currently, and effective until December 31, 2021, the company has a tax ruling which was obtained from the Israeli Tax Authorities and determines that the company owns an industrial enterprise and Preferred Technological Enterprise as defined in the Investments Law. The company is expected to apply to the Israeli Tax Authorities for an extension of the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Consideration</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following summary describes certain United States federal income tax considerations generally applicable to United States Holders (as defined below) of our ADSs. This summary deals only with our ADSs held as capital assets within the meaning of Section 1221 of the Internal Revenue Code of 1986, as amended, (the “Internal Revenue Code”). This summary also does not address the tax consequences that may be relevant to holders in special tax situations including, without limitation, dealers in securities, traders that elect to use a mark-to-market method of accounting, holders that own our ADSs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that acquired our ADSs in a compensatory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transaction, holders that are real estate investment trusts or regulated investment companies, grantor trusts, holders subject to special tax accounting rules as a result of any item of gross income with respect to our ADSs being taken into account in an applicable financial statement, holders which are entities or arrangements treated as partnerships, S-corporations or other pass-through entities for United States federal income tax purposes, holders who acquired ADSs pursuant to the exercise of any employee share option or otherwise as compensation or holders that actually or constructively through attribution own 10% or more of the total voting power or value of our outstanding ADSs.</w:t>
      </w:r>
    </w:p>
    <w:p>
      <w:pPr>
        <w:spacing w:after="0" w:line="176"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This summary is based upon the Internal Revenue Code, applicable United States Treasury regulations, administrative pronouncements and judicial decisions, in each case as in effect on the date hereof, all of which are subject to change (possibly with retroactive effect). No ruling will be requested from the Internal Revenue Service, or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alternative minimum tax, estate and gift tax or the Medicare tax on net investment income).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herein, the term “United States Holder” means a beneficial owner of our ADSs that is, for United States federal income tax purposes,</w:t>
      </w:r>
    </w:p>
    <w:p>
      <w:pPr>
        <w:spacing w:after="0" w:line="46" w:lineRule="exact"/>
        <w:rPr>
          <w:sz w:val="20"/>
          <w:szCs w:val="20"/>
          <w:color w:val="auto"/>
        </w:rPr>
      </w:pPr>
    </w:p>
    <w:p>
      <w:pPr>
        <w:jc w:val="both"/>
        <w:ind w:left="120" w:right="20" w:hanging="4"/>
        <w:spacing w:after="0" w:line="253" w:lineRule="auto"/>
        <w:tabs>
          <w:tab w:leader="none" w:pos="3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defined in Internal Revenue Code Section 7701(a)(30), or (b) that has a valid election in effect under applicable United States Treasury regulations to be treated as a “United States person.”</w:t>
      </w:r>
    </w:p>
    <w:p>
      <w:pPr>
        <w:spacing w:after="0" w:line="19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an entity or arrangement treated as a partnership for United States federal income tax purposes acquires our ADSs, the tax treatment of a partner in the partnership generally will depend upon the status of the partner and the activities of the partnership. Partners of a partnership considering an investment in our ADSs should consult their tax advisors regarding the United States federal income tax consequences of acquiring, owning, and disposing of our ADSs.</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generally be recognized upon an exchange of ADSs for ordinary shares.</w:t>
      </w:r>
    </w:p>
    <w:p>
      <w:pPr>
        <w:spacing w:after="0" w:line="291" w:lineRule="exact"/>
        <w:rPr>
          <w:sz w:val="20"/>
          <w:szCs w:val="20"/>
          <w:color w:val="auto"/>
        </w:rPr>
      </w:pPr>
    </w:p>
    <w:p>
      <w:pPr>
        <w:jc w:val="both"/>
        <w:ind w:left="120" w:right="20" w:firstLine="440"/>
        <w:spacing w:after="0" w:line="261" w:lineRule="auto"/>
        <w:rPr>
          <w:sz w:val="20"/>
          <w:szCs w:val="20"/>
          <w:color w:val="auto"/>
        </w:rPr>
      </w:pPr>
      <w:r>
        <w:rPr>
          <w:rFonts w:ascii="Arial" w:cs="Arial" w:eastAsia="Arial" w:hAnsi="Arial"/>
          <w:sz w:val="18"/>
          <w:szCs w:val="18"/>
          <w:b w:val="1"/>
          <w:bCs w:val="1"/>
          <w:color w:val="auto"/>
        </w:rPr>
        <w:t>THE SUMMARY OF UNITED STATES FEDERAL INCOME TAX CONSEQUENCES SET OUT BELOW IS FOR GENERAL INFORMATION ONLY. ALL PROSPECTIVE INVESTORS SHOULD CONSULT THEIR TAX ADVISORS AS TO THE PARTICULAR TAX CONSEQUENCES TO THEM OF OWNING AND DISPOSING OF OUR ADSS, INCLUDING THE APPLICABILITY AND EFFECT OF STATE, LOCAL AND NON-U.S. TAX LAWS AND POSSIBLE CHANGES IN TAX LAW.</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Subject to the discussion below under “—</w:t>
      </w:r>
      <w:r>
        <w:rPr>
          <w:rFonts w:ascii="Arial" w:cs="Arial" w:eastAsia="Arial" w:hAnsi="Arial"/>
          <w:sz w:val="18"/>
          <w:szCs w:val="18"/>
          <w:i w:val="1"/>
          <w:iCs w:val="1"/>
          <w:color w:val="auto"/>
        </w:rPr>
        <w:t>Passive Foreign Investment Company</w:t>
      </w:r>
      <w:r>
        <w:rPr>
          <w:rFonts w:ascii="Arial" w:cs="Arial" w:eastAsia="Arial" w:hAnsi="Arial"/>
          <w:sz w:val="18"/>
          <w:szCs w:val="18"/>
          <w:color w:val="auto"/>
        </w:rPr>
        <w:t>,” the amount of dividends paid to a United States Holder with respect to our ADSs before reduction for any Israeli taxes withheld therefrom generally will be included in the United States Holder’s gross income as dividend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adjusted tax basis in those ADSs and thereafter as capital gain. However, we do not intend to calculate our earnings and profits under United States federal income tax</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principles. Therefore, United States Holders should expect that a distribution will generally be treated as a dividend even if that distribution would otherwise be treated as a non-taxable return of capital or as capital gain under the rules described above. The dividends will not be eligible for the dividends received deduction available to corporations in respect of dividends received from other United States corporations. The amount of any distribution paid in foreign currency will be equal to the U.S. dollar value of such currency, translated at the spot rate of exchange on the date such distribution is included in the United States Holder’s income, regardless of whether the payment is in fact converted into U.S. dollars at that time.</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Dividends paid on our ADSs generally will constitute “foreign source income” for purposes of the foreign tax credit. Foreign withholding tax (if any) paid on dividends on our ADSs at the rate applicable to a United States Holder (taking into account any applicable income tax treaty) may, subject to limitations and conditions, be treated as foreign income tax eligible for credit against such holder’s United States federal income tax liability or, at such holder’s election, eligible for deduction in computing such holder’s United States federal taxable income. If a refund of the tax withheld is available under the laws of the state of Israel or under the applicable income tax treaty, the amount of tax withheld that is refundable will not be eligible for such credit against a United States Holder’s U.S. federal income tax liability (and will not be eligible for the deduction against U.S. federal taxable income). If the dividends are taxed as “qualified dividend income,” as discussed below, the amount of the dividend taken into account for purposes of calculating the foreign tax credit limitation will generally be limited to the gross amount of the dividend, multiplied by the reduced rate applicable to the qualified dividend income, divided by the highest rate of tax normally applicable to dividends. The limitation on foreign taxes eligible for credit is calculated separately with respect to specific classes of income. For this purpose, any dividends distributed by us with respect to ADSs will generally constitute “passive category income.”</w:t>
      </w:r>
    </w:p>
    <w:p>
      <w:pPr>
        <w:spacing w:after="0" w:line="18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rules governing the treatment of foreign taxes imposed on a United States Holder and foreign tax credits are complex, and United States Holders should consult their tax advisors about the impact of these rules in their particular situations.</w:t>
      </w:r>
    </w:p>
    <w:p>
      <w:pPr>
        <w:spacing w:after="0" w:line="170"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Dividends received by certain non-corporate United States Holders (including individuals) may be “qualified dividend income,” which is taxed at the lower capital gain rate, provided that (i) either our ADSs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(iii) the United States Holder satisfies certain holding period and other requirements and (iv) the United States Holder is not under an obligation to make related payments with respect to positions in substantially similar or related property. In this regard, shares generally are considered to be readily tradable on an established</w:t>
      </w:r>
    </w:p>
    <w:p>
      <w:pPr>
        <w:spacing w:after="0" w:line="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securities market in the United States if they are listed on the , as our ADSs are expected to be. United States Holders should consult their tax advisors regarding the availability of the reduced tax rate on dividends paid with respect to our ADSs.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Disposition of ADSs</w:t>
      </w:r>
    </w:p>
    <w:p>
      <w:pPr>
        <w:spacing w:after="0" w:line="121"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Subject to the discussion below under “—</w:t>
      </w:r>
      <w:r>
        <w:rPr>
          <w:rFonts w:ascii="Arial" w:cs="Arial" w:eastAsia="Arial" w:hAnsi="Arial"/>
          <w:sz w:val="17"/>
          <w:szCs w:val="17"/>
          <w:i w:val="1"/>
          <w:iCs w:val="1"/>
          <w:color w:val="auto"/>
        </w:rPr>
        <w:t>Passive Foreign Investment Company</w:t>
      </w:r>
      <w:r>
        <w:rPr>
          <w:rFonts w:ascii="Arial" w:cs="Arial" w:eastAsia="Arial" w:hAnsi="Arial"/>
          <w:sz w:val="17"/>
          <w:szCs w:val="17"/>
          <w:color w:val="auto"/>
        </w:rPr>
        <w:t>,” a United States Holder generally will recognize capital gain or loss for United States federal income tax purposes on the sale or other taxable disposition of our ADSs equal to the difference, if any, between the amount realized and the United States Holder’s adjusted tax basis in those ADSs. A United States Holder’s initial tax basis in shares generally will equal the cost of such shares. If any foreign tax is imposed on the sale, exchange or other disposition of our ADSs, a United States Holder’s amount realized will include the gross amount of the proceeds of the deposits before deduction of the tax. In general, capital gains recognized by a non-corporate United States Holder, including an individual, are treated as long term capital gain and thus subject to a lower rate under current law if such United States Holder’s holding period in our ADSs exceeds one year. The deductibility of capital losses is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subject to limitations. Any such gain or loss generally will be treated as United States source income or loss for purposes of the foreign tax credit. Because gain for the sale or other taxable disposition of our ADSs will be treated as United States source income, and you may use foreign tax credits against only the portion of United States federal income tax liability that is attributed to foreign source income in the same category, your ability to utilize a foreign tax credit with respect to any foreign tax imposed on any such sale or other taxable disposition, if any, may be significantly limited. In addition, if you are eligible for the benefit of the income tax convention between the United States and the State of Israel and pay Israeli tax in excess of the amount applicable to you under such convention or if the Israeli tax paid is refundable, you will not be able to claim any foreign tax credit or deduction with respect to such Israeli tax. You should consult your tax advisor as to whether the Israeli tax on gains may be creditable or deductible in light of your particular circumstances and your ability to apply the provisions of an applicable treaty.</w:t>
      </w:r>
    </w:p>
    <w:p>
      <w:pPr>
        <w:spacing w:after="0" w:line="178"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If the consideration received upon the sale or other taxable disposition of our ADSs is paid in foreign currency, the amount realized will be the U.S. dollar value of the payment received, translated at the spot rate of exchange on the date of taxable disposition. If our ADSs are treated as traded on an established securities market, a cash basis United States Holder and an accrual basis United States Holder who has made a special election (which must be applied consistently from year to year and cannot be changed without the consent of the IRS) will determine the U.S. dollar value of the amount realized in foreign currency by translating the amount received at the spot rate of exchange on the settlement date of the taxable disposition. An accrual basis United States Holder that does not make the special election will recognize exchange gain or loss to the extent attributable to the difference between the exchange rates on the date of the taxable disposition and the settlement date, and such exchange gain or loss generally will constitute ordinary income or loss.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Foreign Investment Company</w:t>
      </w:r>
    </w:p>
    <w:p>
      <w:pPr>
        <w:spacing w:after="0" w:line="12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would be a PFIC for any taxable year if, after the application of certain look-through rules, either: (i) 75% or more of our gross income for such year is “passive income” (as defined in the relevant provisions of the Internal Revenue Code), or (ii) 50% or more of the value of our assets (determined on the basis of a quarterly average) during such year is attributable to assets that produce or are held for the production of passive income.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25% or more (by value) of the stock.</w:t>
      </w:r>
    </w:p>
    <w:p>
      <w:pPr>
        <w:spacing w:after="0" w:line="16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Based on the current and anticipated composition of our income, assets and operations, and the expected price of the ADSs in this offering, we do not expect to be treated as a PFIC for the current taxable year or in the foreseeable future. However, whether we are a PFIC is a factual determination that must be made annually after the close of each taxable year. This determination will depend on, among other things, the composition of the Company’s income and assets, as well as the market value of our ADSs and assets, which may fluctuate significantly. In addition, it is possible that the IRS may take a contrary position with respect to our determination in any particular year. Therefore, there can be no assurance that we will not be classified as a PFIC for the current taxable year or any future taxable year.</w:t>
      </w:r>
    </w:p>
    <w:p>
      <w:pPr>
        <w:spacing w:after="0" w:line="19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Certain adverse United States federal income tax consequences could apply to a United States Holder if we are treated as a PFIC for any taxable year during which such United States Holder holds our ADSs. Under the PFIC rules, if we were considered a PFIC at any time that a United States Holder holds our ADSs, we would continue to be treated as a PFIC with respect to such holder’s investment unless (i) we cease to be a PFIC, and (ii) the United States Holder has made a “deemed sale” election under the PFIC rules. If such election is made, a United States Holder will be deemed to have sold our ADSs at their fair market value on the last day of the last taxable year in which we were a PFIC, and any gain from the deemed sale would be subject to the rules described in the following paragraph. After the deemed sale election, so long as we do not become a PFIC in a subsequent taxable year, the ADSs with respect to which such election was made will not be treated as shares in a PFIC.</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United States Holders should consult their tax advisors as to the possibility and consequences of making a deemed sale election if we are (or were to become) and then cease to be a PFIC, and such election becomes available.</w:t>
      </w:r>
    </w:p>
    <w:p>
      <w:pPr>
        <w:spacing w:after="0" w:line="170"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If we are a PFIC for any taxable year that a United States Holder holds our ADSs, unless the United States Holder makes one of the elections described below, any gain recognized by the United States Holder on a sale or other disposition of our ADSs would be allocated pro-rata over the United States Holder’s holding period for the ADSs.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ADSs exceeds 125% of the average of the annual distributions on the ADSs received during the preceding three years or the United States Holder’s holding period, whichever is shorter, that distribution would be subject to taxation in the same manner as gain on the sale or other disposition of our ADSs if we were a PFIC, described above. If we are treated as a PFIC with respect to a United States Holder for any taxable year, the United States Holder will be deemed to own shares in any of the foreign entities in which we may hold equity interests that also are PFICs, or lower-tier PFICs.</w:t>
      </w:r>
    </w:p>
    <w:p>
      <w:pPr>
        <w:spacing w:after="0" w:line="185"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Certain elections may be available that would result in alternative treatments (such as mark-to-market treatment or treatment as a qualified electing fund (“QEF”)) of our ADSs if we are considered a PFIC. However, we do not expect to furnish United States Holders of our ADSs with the tax information necessary to enable a United States Holder to make a QEF election. In addition, an election for mark-to-market treatment is unlikely to be available to mitigate any adverse tax consequences with respect to a subsidiary that is also a PFIC. If we are considered a PFIC, a United States Holder will also be subject to annual information reporting requirements. United States Holders should consult their tax advisors about the potential application of the PFIC rules to an investment in our ADSs and the potential consequences related thereto.</w:t>
      </w:r>
    </w:p>
    <w:p>
      <w:pPr>
        <w:spacing w:after="0" w:line="282"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auto"/>
        </w:rPr>
        <w:t>United States Holders should consult their tax advisors regarding whether we are a PFIC as well as the potential U.S. federal income tax consequences of holding and disposing of our ADSs if we are or become classified as a PFIC, including the possibility of making a mark-to-market election in their particular circumstances.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Distributions on our ADSs and proceeds from the sale or other taxable disposition of our ADSs may be subject to information reporting to the IRS and possible backup withholding. Backup withholding will not apply, however, to a United States Holder who furnishes a correct taxpayer identification number and certifies that it is not subject to backup withholding or that is otherwise exempt from backup withholding. United States Holders that are required to establish their exempt status generally must provide such certification on IRS Form W-9.</w:t>
      </w:r>
    </w:p>
    <w:p>
      <w:pPr>
        <w:spacing w:after="0" w:line="17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Backup withholding is not an additional tax. Rather, any amount withheld under the backup withholding rules will be refundable or creditable against the United States Holder’s United States federal income tax liability, provided the required information is timely furnished to the IRS. United States Holders should consult their tax advisors regarding the application of the United States information reporting and backup withholding rules.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Financial Asset Reporting</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Certain United States Holders are required to report their holdings of certain foreign financial assets, including our ADSs, if the aggregate value of all of these assets exceeds certain threshold amounts, subject to certain exceptions (including an exception for ADSs held in accounts maintained by certain financial institutions). Penalties can apply if United States Holders fail to satisfy such reporting requirements. United States Holders should consult their tax advisors regarding the application of these reporting requirements on the ownership and disposition of our ADSs.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ADSs being offered. Subject to certain conditions, each underwriter has severally agreed to purchase the number of ADSs indicated in the following table. RBC Capital Markets, LLC and Stifel, Nicolaus &amp; Company, Incorporated are the representatives of the underwriters.</w:t>
      </w:r>
    </w:p>
    <w:p>
      <w:pPr>
        <w:spacing w:after="0" w:line="202" w:lineRule="exact"/>
        <w:rPr>
          <w:sz w:val="20"/>
          <w:szCs w:val="20"/>
          <w:color w:val="auto"/>
        </w:rPr>
      </w:pPr>
    </w:p>
    <w:p>
      <w:pPr>
        <w:ind w:left="8280"/>
        <w:spacing w:after="0"/>
        <w:rPr>
          <w:sz w:val="20"/>
          <w:szCs w:val="20"/>
          <w:color w:val="auto"/>
        </w:rPr>
      </w:pPr>
      <w:r>
        <w:rPr>
          <w:rFonts w:ascii="Arial" w:cs="Arial" w:eastAsia="Arial" w:hAnsi="Arial"/>
          <w:sz w:val="14"/>
          <w:szCs w:val="14"/>
          <w:b w:val="1"/>
          <w:bCs w:val="1"/>
          <w:u w:val="single" w:color="auto"/>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6350</wp:posOffset>
            </wp:positionV>
            <wp:extent cx="474916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RBC Capital Markets, LLC</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5715</wp:posOffset>
            </wp:positionV>
            <wp:extent cx="6604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23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underwriters are committed to take and pay for all of the ADSs being offered, if any are taken, other than the ADSs covered by the option described below unless and until this option is exercised.</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underwriters have an option to purchase up to an additional ADSs from us to cover sales by the underwriters of a greater number of ADSs than the total number set forth in the table above. They may exercise that option for 30 days. If any ADSs are purchased pursuant to this option, the underwriters will severally purchase ADSs in approximately the same proportion as set forth in the table above.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per ADS and total underwriting discounts and commissions to be paid to the underwriters by us. Such amounts are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w w:val="95"/>
              </w:rPr>
              <w:t>shown assuming both no exercise and full exercise of the underwriters’ option to purchase</w:t>
            </w:r>
          </w:p>
        </w:tc>
        <w:tc>
          <w:tcPr>
            <w:tcW w:w="1960" w:type="dxa"/>
            <w:vAlign w:val="bottom"/>
            <w:gridSpan w:val="3"/>
          </w:tcPr>
          <w:p>
            <w:pPr>
              <w:ind w:left="360"/>
              <w:spacing w:after="0"/>
              <w:rPr>
                <w:sz w:val="20"/>
                <w:szCs w:val="20"/>
                <w:color w:val="auto"/>
              </w:rPr>
            </w:pPr>
            <w:r>
              <w:rPr>
                <w:rFonts w:ascii="Arial" w:cs="Arial" w:eastAsia="Arial" w:hAnsi="Arial"/>
                <w:sz w:val="18"/>
                <w:szCs w:val="18"/>
                <w:color w:val="auto"/>
              </w:rPr>
              <w:t>additional ADSs.</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3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7"/>
              </w:rPr>
              <w:t>Full Exercise</w:t>
            </w:r>
          </w:p>
        </w:tc>
      </w:tr>
      <w:tr>
        <w:trPr>
          <w:trHeight w:val="210"/>
        </w:trPr>
        <w:tc>
          <w:tcPr>
            <w:tcW w:w="13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estimate that our portion of the total expenses of the offering, excluding underwriting discounts and commissions, will be approximately</w:t>
      </w:r>
    </w:p>
    <w:p>
      <w:pPr>
        <w:spacing w:after="0" w:line="3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 , all of which will be paid by us. We have also agreed to reimburse the underwriters for up to $ for certain of their expenses incurred in connection with this offering.</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ADSs sold by the underwriters to the public will initially be offered at the initial public offering price set forth on the cover of this prospectus.</w:t>
      </w:r>
    </w:p>
    <w:p>
      <w:pPr>
        <w:spacing w:after="0" w:line="3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Any ADSs sold by the underwriters to securities dealers may be sold at a discount of up to $ per ADS from the initial public offering price. After the initial offering of the ADSs, the representatives may change the offering price and the other selling terms. The offering of the ADSs by the underwriters is subject to receipt and acceptance and subject to the underwriters’ right to reject any order in whole or in part.</w:t>
      </w:r>
    </w:p>
    <w:p>
      <w:pPr>
        <w:spacing w:after="0" w:line="190"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and our officers, directors, and holders of substantially all of our ordinary shares have agreed with the underwriters, subject to certain exceptions, not to, directly or indirectly, offer, sell contract to sell, pledge, grant any option to purchase, lend or otherwise dispose of or hedge any of our ordinary shares, or any options or warrants to purchase any ordinary shares of the Company, or securities convertible into or exchangeable for ordinary shares during the period from the date of this prospectus continuing through the date that is 180 days after the date of this prospectus, except with the prior written consent of the representatives. See “</w:t>
      </w:r>
      <w:r>
        <w:rPr>
          <w:rFonts w:ascii="Arial" w:cs="Arial" w:eastAsia="Arial" w:hAnsi="Arial"/>
          <w:sz w:val="17"/>
          <w:szCs w:val="17"/>
          <w:i w:val="1"/>
          <w:iCs w:val="1"/>
          <w:color w:val="auto"/>
        </w:rPr>
        <w:t>Shares Eligible for Future Sale</w:t>
      </w:r>
      <w:r>
        <w:rPr>
          <w:rFonts w:ascii="Arial" w:cs="Arial" w:eastAsia="Arial" w:hAnsi="Arial"/>
          <w:sz w:val="17"/>
          <w:szCs w:val="17"/>
          <w:color w:val="auto"/>
        </w:rPr>
        <w:t>” for a discussion of certain transfer restrictions.</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Prior to the offering, there has been no public market in the United States for the ordinary shares or ADSs. The initial public offering price has been negotiated among us and the representatives. Among the factors to be considered in determining the initial public offering price of the ADSs, in addition to prevailing market conditions, will be the our historical performance, the trading price of our ordinary shares on AIM, estimates of our business potential and earnings prospects, an assessment of our management and the consideration of the above factors in relation to market valuation of companies in related businesses.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00" w:type="dxa"/>
            <w:vAlign w:val="bottom"/>
          </w:tcPr>
          <w:p>
            <w:pPr>
              <w:spacing w:after="0"/>
              <w:rPr>
                <w:sz w:val="17"/>
                <w:szCs w:val="17"/>
                <w:color w:val="auto"/>
              </w:rPr>
            </w:pPr>
          </w:p>
        </w:tc>
        <w:tc>
          <w:tcPr>
            <w:tcW w:w="6460" w:type="dxa"/>
            <w:vAlign w:val="bottom"/>
          </w:tcPr>
          <w:p>
            <w:pPr>
              <w:spacing w:after="0"/>
              <w:rPr>
                <w:sz w:val="17"/>
                <w:szCs w:val="17"/>
                <w:color w:val="auto"/>
              </w:rPr>
            </w:pPr>
          </w:p>
        </w:tc>
      </w:tr>
      <w:tr>
        <w:trPr>
          <w:trHeight w:val="519"/>
        </w:trPr>
        <w:tc>
          <w:tcPr>
            <w:tcW w:w="4660" w:type="dxa"/>
            <w:vAlign w:val="bottom"/>
            <w:gridSpan w:val="2"/>
          </w:tcPr>
          <w:p>
            <w:pPr>
              <w:ind w:left="560"/>
              <w:spacing w:after="0"/>
              <w:rPr>
                <w:sz w:val="20"/>
                <w:szCs w:val="20"/>
                <w:color w:val="auto"/>
              </w:rPr>
            </w:pPr>
            <w:r>
              <w:rPr>
                <w:rFonts w:ascii="Arial" w:cs="Arial" w:eastAsia="Arial" w:hAnsi="Arial"/>
                <w:sz w:val="18"/>
                <w:szCs w:val="18"/>
                <w:color w:val="auto"/>
              </w:rPr>
              <w:t>We intend to apply to have our ADSs listed on</w:t>
            </w:r>
          </w:p>
        </w:tc>
        <w:tc>
          <w:tcPr>
            <w:tcW w:w="6460" w:type="dxa"/>
            <w:vAlign w:val="bottom"/>
          </w:tcPr>
          <w:p>
            <w:pPr>
              <w:ind w:left="620"/>
              <w:spacing w:after="0"/>
              <w:rPr>
                <w:sz w:val="20"/>
                <w:szCs w:val="20"/>
                <w:color w:val="auto"/>
              </w:rPr>
            </w:pPr>
            <w:r>
              <w:rPr>
                <w:rFonts w:ascii="Arial" w:cs="Arial" w:eastAsia="Arial" w:hAnsi="Arial"/>
                <w:sz w:val="18"/>
                <w:szCs w:val="18"/>
                <w:color w:val="auto"/>
                <w:w w:val="94"/>
              </w:rPr>
              <w:t>under the symbol “TRMR.” Our ordinary shares trade on AIM, a market of the</w:t>
            </w:r>
          </w:p>
        </w:tc>
      </w:tr>
      <w:tr>
        <w:trPr>
          <w:trHeight w:val="230"/>
        </w:trPr>
        <w:tc>
          <w:tcPr>
            <w:tcW w:w="4660" w:type="dxa"/>
            <w:vAlign w:val="bottom"/>
            <w:gridSpan w:val="2"/>
          </w:tcPr>
          <w:p>
            <w:pPr>
              <w:ind w:left="120"/>
              <w:spacing w:after="0"/>
              <w:rPr>
                <w:sz w:val="20"/>
                <w:szCs w:val="20"/>
                <w:color w:val="auto"/>
              </w:rPr>
            </w:pPr>
            <w:r>
              <w:rPr>
                <w:rFonts w:ascii="Arial" w:cs="Arial" w:eastAsia="Arial" w:hAnsi="Arial"/>
                <w:sz w:val="18"/>
                <w:szCs w:val="18"/>
                <w:color w:val="auto"/>
              </w:rPr>
              <w:t>London Stock Exchange, under the symbol “TRMR.”</w:t>
            </w:r>
          </w:p>
        </w:tc>
        <w:tc>
          <w:tcPr>
            <w:tcW w:w="64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left="120" w:firstLine="440"/>
        <w:spacing w:after="0" w:line="287" w:lineRule="auto"/>
        <w:rPr>
          <w:sz w:val="20"/>
          <w:szCs w:val="20"/>
          <w:color w:val="auto"/>
        </w:rPr>
      </w:pPr>
      <w:r>
        <w:rPr>
          <w:rFonts w:ascii="Arial" w:cs="Arial" w:eastAsia="Arial" w:hAnsi="Arial"/>
          <w:sz w:val="16"/>
          <w:szCs w:val="16"/>
          <w:color w:val="auto"/>
        </w:rPr>
        <w:t>In connection with the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the offering. Stabilizing transactions consist of various bids for or purchases of ADSs made by the underwriters in the open market prior to the closing of the offering.</w:t>
      </w:r>
    </w:p>
    <w:p>
      <w:pPr>
        <w:spacing w:after="0" w:line="16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8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ADSs, and together with the imposition of the penalty bid, may stabilize, maintain or otherwise affect the market price of our ADSs. As a result, the price of the ADSs may be higher than the price that otherwise might exist in the open market. The underwriters are not required to engage in these activities and may end any of these activities at any time. These transactions may</w:t>
      </w:r>
    </w:p>
    <w:p>
      <w:pPr>
        <w:spacing w:after="0" w:line="1" w:lineRule="exact"/>
        <w:rPr>
          <w:sz w:val="20"/>
          <w:szCs w:val="20"/>
          <w:color w:val="auto"/>
        </w:rPr>
      </w:pPr>
    </w:p>
    <w:p>
      <w:pPr>
        <w:ind w:left="120"/>
        <w:spacing w:after="0"/>
        <w:tabs>
          <w:tab w:leader="none" w:pos="1880" w:val="left"/>
        </w:tabs>
        <w:rPr>
          <w:sz w:val="20"/>
          <w:szCs w:val="20"/>
          <w:color w:val="auto"/>
        </w:rPr>
      </w:pPr>
      <w:r>
        <w:rPr>
          <w:rFonts w:ascii="Arial" w:cs="Arial" w:eastAsia="Arial" w:hAnsi="Arial"/>
          <w:sz w:val="18"/>
          <w:szCs w:val="18"/>
          <w:color w:val="auto"/>
        </w:rPr>
        <w:t>be effected on</w:t>
      </w:r>
      <w:r>
        <w:rPr>
          <w:sz w:val="20"/>
          <w:szCs w:val="20"/>
          <w:color w:val="auto"/>
        </w:rPr>
        <w:tab/>
      </w:r>
      <w:r>
        <w:rPr>
          <w:rFonts w:ascii="Arial" w:cs="Arial" w:eastAsia="Arial" w:hAnsi="Arial"/>
          <w:sz w:val="16"/>
          <w:szCs w:val="16"/>
          <w:color w:val="auto"/>
        </w:rPr>
        <w:t>, in the over-the-counter market or otherwise.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6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address for RBC Capital Markets, LLC is 200 Vesey Street, New York, New York 10281. The address for Stifel, Nicolaus &amp; Company, Incorporated is 787 7th Avenue, 11th Floor, New York, New York 10019.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45"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In relation to each EEA Member State and, until the expiration of the period during which the United Kingdom continues to be subject to European Union law without being an EEA Member State (the “Transition Period”), none of the ADSs have been offered or will be offered pursuant to the offering to the public in that EEA Member State prior to the publication of a prospectus in relation to the ADSs which has been approved by the competent authority in that EEA Member State or, where appropriate, approved in another EEA Member State and notified to the competent authority in that EEA Member State, all in accordance with Regulation (EU) 2017/1129 (the “Prospectus Regulation”), except that offers of ADSs may be made to the public in that EEA Member State at any time under the following exemptions under the Prospectus Regulation:</w:t>
      </w:r>
    </w:p>
    <w:p>
      <w:pPr>
        <w:spacing w:after="0" w:line="83"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provided that no such offer of the ADSs shall require the Company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the purposes of this provision, the expression an “offer to the public” in relation to any of the ADSs in any EEA Member State means the communication in any form and by any means of sufficient information on the terms of the offer and any ADSs to be offered so as to enable an investor to decide to purchase or subscribe for any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jc w:val="both"/>
        <w:ind w:left="108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ADSs in circumstances in which Section 21(1) of the FSMA does not apply to the Company; and</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ADSs in, from or otherwise involving the United Kingdom.</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After the expiration of the Transition Period, none of the ADSs have been offered or will be offered pursuant to the offering to the public in the United Kingdom prior to the publication of a prospectus in relation to the ADSs (which has been approved by the Financial Conduct Authority in accordance with the FSMA, as amended), except that offers of ADSs may be made to the public in that EEA Member State at any time under the following exemptions under the FSMA, as amended:</w:t>
      </w:r>
    </w:p>
    <w:p>
      <w:pPr>
        <w:spacing w:after="0" w:line="92"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FSMA;</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FSMA), subject to obtaining the prior consent of the representative for any such offer; or</w:t>
      </w:r>
    </w:p>
    <w:p>
      <w:pPr>
        <w:spacing w:after="0" w:line="75" w:lineRule="exact"/>
        <w:rPr>
          <w:rFonts w:ascii="Arial" w:cs="Arial" w:eastAsia="Arial" w:hAnsi="Arial"/>
          <w:sz w:val="18"/>
          <w:szCs w:val="18"/>
          <w:color w:val="auto"/>
        </w:rPr>
      </w:pPr>
    </w:p>
    <w:p>
      <w:pPr>
        <w:jc w:val="both"/>
        <w:ind w:left="1080" w:hanging="532"/>
        <w:spacing w:after="0" w:line="25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 as amended, provided that no such offer of the ADSs shall require the company or the representative to publish a prospectus pursuant to Section 85 of the FSMA or supplement a prospectus pursuant to Section 87G of the FSMA. For the purposes of this provision, the expression an “offer to the public” in relation to any ADSs in the United Kingdom the communication in any form and by any means of sufficient information on the terms of the offer and any ADSs to be offered so as to enable an investor to decide to purchase or subscribe for any ADSs.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ADSs offered by this prospectus have not been approved or disapproved by the Israel Securities Authority (the “ISA”), nor have such ADSs s been registered for sale in Israel. The ADSs may not be offered or sold, directly or indirectly, to the public in Israel, absent the publication of a prospectus that has been approved by the ISA. The ISA has not issued permits, approvals or licenses in connection with this offering or publishing this prospectus, nor has it authenticated the details included herein, confirmed their reliability or completeness, or rendered an opinion as to the quality of the ADSs being offered.</w:t>
      </w:r>
    </w:p>
    <w:p>
      <w:pPr>
        <w:spacing w:after="0" w:line="18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and has not been filed with or approved by the ISA. In the State of Israel, this document may be distributed only to, and may be directed only at, and any offer of the ADSs may be directed only at, (i) to the extent applicable, a limited number of persons in accordance with the Israeli Securities Law and (ii) investors listed in the first addendum to the Israeli Securities Law (the “Addendum”) consisting primarily of joint investment in trust funds, provident funds, insurance companies, banks, portfolio managers, investment advisors, members of the Tel Aviv Stock Exchange Ltd.,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ADSs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The ADSs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ADSs which are or are intended to be disposed of only to persons outside Hong Kong or only to “professional investors” in Hong Kong as defined in the Securities and Futures Ordinance and any rules made thereunder.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of the SFA, or any person pursuant to Section 275(1A) of the SFA, and in accordance with the conditions specified in Section 275 of the SFA, or (3) otherwise pursuant to, and in accordance with the conditions of, any other applicable provision of the SFA.</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300" w:right="20" w:hanging="644"/>
        <w:spacing w:after="0" w:line="308" w:lineRule="auto"/>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jc w:val="both"/>
        <w:ind w:left="1300" w:right="20" w:hanging="644"/>
        <w:spacing w:after="0" w:line="279" w:lineRule="auto"/>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76" w:lineRule="exact"/>
        <w:rPr>
          <w:rFonts w:ascii="Arial" w:cs="Arial" w:eastAsia="Arial" w:hAnsi="Arial"/>
          <w:sz w:val="17"/>
          <w:szCs w:val="17"/>
          <w:color w:val="auto"/>
        </w:rPr>
      </w:pPr>
    </w:p>
    <w:p>
      <w:pPr>
        <w:ind w:left="1860" w:right="20" w:hanging="543"/>
        <w:spacing w:after="0" w:line="277" w:lineRule="auto"/>
        <w:tabs>
          <w:tab w:leader="none" w:pos="18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860" w:hanging="543"/>
        <w:spacing w:after="0"/>
        <w:tabs>
          <w:tab w:leader="none" w:pos="18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860" w:hanging="543"/>
        <w:spacing w:after="0"/>
        <w:tabs>
          <w:tab w:leader="none" w:pos="18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860" w:hanging="543"/>
        <w:spacing w:after="0"/>
        <w:tabs>
          <w:tab w:leader="none" w:pos="18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860" w:right="20" w:hanging="543"/>
        <w:spacing w:after="0" w:line="277" w:lineRule="auto"/>
        <w:tabs>
          <w:tab w:leader="none" w:pos="18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ADSs are “prescribed capital markets products” (as defined in the CMP Regulations 2018) and Excluded Investment Products (as defined in MAS Notice SFA 04-N12: Notice on the Sale of Investment Products and MAS Notice FAA N-16: Notice on Recommendations on Investment Products).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ADSs have not been and will not be registered under the Financial Instruments and Exchange Act of Japan (Act No. 25 of 1948, as amended) (the “FIEA”). The ADSs may not be offered or sold, directly or indirectly, in Japan or to or for the benefit of any resident of Japan (including any person resident in Japan or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Any offer in Australia of the ADSs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estimate that our expenses in connection with this offering, other than underwriting discounts and commissions, will be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6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560" w:type="dxa"/>
            <w:vAlign w:val="bottom"/>
            <w:tcBorders>
              <w:top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5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Transfer agent’s fee</w:t>
            </w:r>
          </w:p>
        </w:tc>
        <w:tc>
          <w:tcPr>
            <w:tcW w:w="5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5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5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35"/>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300" w:type="dxa"/>
            <w:vAlign w:val="bottom"/>
            <w:gridSpan w:val="3"/>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8260" w:type="dxa"/>
            <w:vAlign w:val="bottom"/>
            <w:gridSpan w:val="4"/>
          </w:tcPr>
          <w:p>
            <w:pPr>
              <w:ind w:left="160"/>
              <w:spacing w:after="0"/>
              <w:rPr>
                <w:sz w:val="20"/>
                <w:szCs w:val="20"/>
                <w:color w:val="auto"/>
              </w:rPr>
            </w:pPr>
            <w:r>
              <w:rPr>
                <w:rFonts w:ascii="Arial" w:cs="Arial" w:eastAsia="Arial" w:hAnsi="Arial"/>
                <w:sz w:val="18"/>
                <w:szCs w:val="18"/>
                <w:color w:val="auto"/>
              </w:rPr>
              <w:t>To be filed by amendment.</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All amounts in the table are estimates except the SEC registration fee, the stock exchange listing fee and the FINRA filing fee. We will pay all of the expenses of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validity of our ordinary shares and certain other matters of Israeli law will be passed upon for us by Naschitz, Brandes, Amir &amp; Co., Advocates, Tel Aviv, Israel. Certain matters of U.S. federal law will be passed upon for us by Latham &amp; Watkins LLP. Certain matters of Israeli law will be passed upon for the underwriters by Goldfarb Seligman &amp; Co., Tel Aviv, Israel. Certain matters of U.S. federal law will be passed upon for the underwriters by Skadden, Arps, Slate, Meagher &amp; Flom LLP.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consolidated financial statements of Tremor International Ltd. and its subsidiaries as of December 31, 2020 and 2019, and for each of the years in the two-year period ended December 31, 2020, have been included herein in reliance upon the report of Somekh Chaikin, a member firm of KPMG International, independent registered public accounting firm, appearing elsewhere herein, and upon the authority of said firm as experts in accounting and auditing. The current address of Somekh Chaikin is 17 Ha’arba’a Street, Tel Aviv 64739, Israel.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irrevocably appointed Puglisi &amp; Associates as our agent to receive service of process in any action against us in any U.S. federal or state court arising out of this offering or any purchase or sale of securities in connection with this offering. The address of our agent is 850 Library Avenue, Suite 204, Newark, DE 19711.</w:t>
      </w:r>
    </w:p>
    <w:p>
      <w:pPr>
        <w:spacing w:after="0" w:line="184"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We have been informed by our legal counsel in Israel, Naschitz, Brandes, Amir &amp; Co., Advocates,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16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89"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judgment was rendered by a court which was, according to the laws of the state of the court, competent to render the judgment;</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 if these conditions are met, an Israeli court may not declare a foreign civil judgment enforceable if:</w:t>
      </w:r>
    </w:p>
    <w:p>
      <w:pPr>
        <w:spacing w:after="0" w:line="131" w:lineRule="exact"/>
        <w:rPr>
          <w:sz w:val="20"/>
          <w:szCs w:val="20"/>
          <w:color w:val="auto"/>
        </w:rPr>
      </w:pPr>
    </w:p>
    <w:p>
      <w:pPr>
        <w:ind w:left="1080" w:right="2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judgment was given in a state whose laws do not provide for the enforcement of judgments of Israeli courts (subject to exceptional cases);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enforcement of the judgment is likely to prejudice the sovereignty or security of the State of Israel;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opportunity given to the defendant to bring its arguments and evidence before the court was not reasonable in the opinion of the Israeli court;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judgment was rendered by a court not competent to render it according to the laws of private international law as they apply in Israel;</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judgment is contradictory to another judgment that was given in the same matter between the same parties and that is still valid; or</w:t>
      </w:r>
    </w:p>
    <w:p>
      <w:pPr>
        <w:spacing w:after="0" w:line="153"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the time the action was brought in the foreign court, a lawsuit in the same matter and between the same parties was pending before a court or tribunal in Israel.</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The rules and regulations of the SEC allow us to omit certain information from this prospectus that is included in the registration statement and the exhibits and schedules to the registration statement. For further information, we refer you to the registration statement and the exhibits and schedules filed as part of the registration statement.</w:t>
      </w:r>
    </w:p>
    <w:p>
      <w:pPr>
        <w:spacing w:after="0" w:line="188"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Statements made in this prospectus concerning the contents of any contract, agreement or other document are not complete descriptions of all terms of these documents. If a document has been filed as an exhibit to the registration statement, we refer you to the copy of the document that has been filed for a complete description of its terms. Each statement in this prospectus relating to a document filed as an exhibit is qualified in all respects by the filed exhibit. You should read this prospectus and the documents that we have filed as exhibits to the registration statement of which this prospectus forms a part completely.</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Upon the closing of this offering, we will become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will send our transfer agent a copy of all notices of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ITS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2020</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60" w:type="dxa"/>
            <w:vAlign w:val="bottom"/>
            <w:gridSpan w:val="7"/>
            <w:vMerge w:val="restart"/>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REPORT OF INDEPENDENT REGISTERED PUBLIC ACCOUNTING FIRM</w:t>
              </w:r>
            </w:hyperlink>
          </w:p>
        </w:tc>
        <w:tc>
          <w:tcPr>
            <w:tcW w:w="3960" w:type="dxa"/>
            <w:vAlign w:val="bottom"/>
            <w:vMerge w:val="restart"/>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160" w:type="dxa"/>
            <w:vAlign w:val="bottom"/>
            <w:tcBorders>
              <w:bottom w:val="single" w:sz="8" w:color="0000EE"/>
            </w:tcBorders>
            <w:gridSpan w:val="7"/>
            <w:vMerge w:val="continue"/>
          </w:tcPr>
          <w:p>
            <w:pPr>
              <w:spacing w:after="0"/>
              <w:rPr>
                <w:sz w:val="13"/>
                <w:szCs w:val="13"/>
                <w:color w:val="auto"/>
              </w:rPr>
            </w:pPr>
          </w:p>
        </w:tc>
        <w:tc>
          <w:tcPr>
            <w:tcW w:w="3960" w:type="dxa"/>
            <w:vAlign w:val="bottom"/>
            <w:vMerge w:val="continue"/>
          </w:tcPr>
          <w:p>
            <w:pPr>
              <w:spacing w:after="0"/>
              <w:rPr>
                <w:sz w:val="13"/>
                <w:szCs w:val="13"/>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012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9760" w:type="dxa"/>
            <w:vAlign w:val="bottom"/>
            <w:gridSpan w:val="7"/>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Consolidated Statements of Financial Position</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760" w:type="dxa"/>
            <w:vAlign w:val="bottom"/>
            <w:gridSpan w:val="7"/>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Consolidated Statements of Operation and Other Comprehensive income</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49">
              <w:r>
                <w:rPr>
                  <w:rFonts w:ascii="Arial" w:cs="Arial" w:eastAsia="Arial" w:hAnsi="Arial"/>
                  <w:sz w:val="18"/>
                  <w:szCs w:val="18"/>
                  <w:color w:val="0000EE"/>
                  <w:w w:val="89"/>
                </w:rPr>
                <w:t>Consolidated Statements of Changes in Shareholders’ Equity</w:t>
              </w:r>
            </w:hyperlink>
          </w:p>
        </w:tc>
        <w:tc>
          <w:tcPr>
            <w:tcW w:w="840" w:type="dxa"/>
            <w:vAlign w:val="bottom"/>
            <w:tcBorders>
              <w:top w:val="single" w:sz="8" w:color="0000EE"/>
            </w:tcBorders>
          </w:tcPr>
          <w:p>
            <w:pPr>
              <w:spacing w:after="0"/>
              <w:rPr>
                <w:sz w:val="24"/>
                <w:szCs w:val="24"/>
                <w:color w:val="auto"/>
              </w:rPr>
            </w:pPr>
          </w:p>
        </w:tc>
        <w:tc>
          <w:tcPr>
            <w:tcW w:w="4520" w:type="dxa"/>
            <w:vAlign w:val="bottom"/>
            <w:gridSpan w:val="2"/>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9760" w:type="dxa"/>
            <w:vAlign w:val="bottom"/>
            <w:gridSpan w:val="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Consolidated Statements of Cash Flows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760" w:type="dxa"/>
            <w:vAlign w:val="bottom"/>
            <w:gridSpan w:val="7"/>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Notes to Consolidated Financial Statements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F-7-F-53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411480</wp:posOffset>
            </wp:positionV>
            <wp:extent cx="1474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the Shareholders and Board of Directors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Tremor International Ltd.</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Tremor International Ltd. and its subsidiaries (hereinafter – “the Company”) as of December 31, 2020 and 2019, the related consolidated statements of operations and other comprehensive income, changes in equity, and cash flows for each of the years in the two-year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two-year period ended December 31, 2020, in conformity with International Financial Reporting Standards, as issued by the International Accounting Standard Board.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conducted our audit in accordance with the standard of the PCAOB. Such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 Firm of KPMG International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2014</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11, 2021</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Note</w:t>
            </w: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680" w:type="dxa"/>
            <w:vAlign w:val="bottom"/>
            <w:gridSpan w:val="4"/>
          </w:tcPr>
          <w:p>
            <w:pPr>
              <w:jc w:val="right"/>
              <w:ind w:right="271"/>
              <w:spacing w:after="0" w:line="142" w:lineRule="exact"/>
              <w:rPr>
                <w:sz w:val="20"/>
                <w:szCs w:val="20"/>
                <w:color w:val="auto"/>
              </w:rPr>
            </w:pPr>
            <w:r>
              <w:rPr>
                <w:rFonts w:ascii="Arial" w:cs="Arial" w:eastAsia="Arial" w:hAnsi="Arial"/>
                <w:sz w:val="14"/>
                <w:szCs w:val="14"/>
                <w:b w:val="1"/>
                <w:bCs w:val="1"/>
                <w:color w:val="auto"/>
              </w:rPr>
              <w:t>USD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97,463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79,047</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153,544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96,829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17,615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Current tax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189,216</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224,500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210,285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17,606</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 long term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253,358</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lease liabilities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Trade payables</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125,863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70,428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payables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25,049</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Current tax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109,087</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Employee benefits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lease liabilities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15,963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17,687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 term liabilities</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19(b)</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221,638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141,962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Share premium</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264,831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240,989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58,778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300,612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550,651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1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 AND OTHER COMPREHENSIVE INCOME</w:t>
      </w:r>
    </w:p>
    <w:p>
      <w:pPr>
        <w:spacing w:after="0" w:line="248"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90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500" w:type="dxa"/>
            <w:vAlign w:val="bottom"/>
            <w:gridSpan w:val="3"/>
          </w:tcPr>
          <w:p>
            <w:pPr>
              <w:jc w:val="right"/>
              <w:ind w:right="191"/>
              <w:spacing w:after="0" w:line="142" w:lineRule="exact"/>
              <w:rPr>
                <w:sz w:val="20"/>
                <w:szCs w:val="20"/>
                <w:color w:val="auto"/>
              </w:rPr>
            </w:pPr>
            <w:r>
              <w:rPr>
                <w:rFonts w:ascii="Arial" w:cs="Arial" w:eastAsia="Arial" w:hAnsi="Arial"/>
                <w:sz w:val="14"/>
                <w:szCs w:val="14"/>
                <w:b w:val="1"/>
                <w:bCs w:val="1"/>
                <w:color w:val="auto"/>
              </w:rPr>
              <w:t>USD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11a</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211,920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325,760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 shown separately below)</w:t>
            </w: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11b</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59,807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187,246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68,765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52,351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29,678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34,433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45,187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32,359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158,138</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134,611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Financing income</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b w:val="1"/>
                <w:bCs w:val="1"/>
                <w:color w:val="auto"/>
              </w:rPr>
              <w:t>Financing expenses, net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before taxes on income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Tax benefit</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9,581</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items:</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differences for foreign operation</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b w:val="1"/>
                <w:bCs w:val="1"/>
                <w:color w:val="auto"/>
              </w:rPr>
              <w:t>Total other comprehensive income for the year</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(in USD)</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0.056</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Diluted earnings per share (in USD)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0.015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0.054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1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w:t>
            </w: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w:t>
            </w: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Retained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90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premium</w:t>
            </w: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income</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Earnings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USD thousands</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198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72,663</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355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for the year</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6,224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139</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6"/>
              </w:rPr>
              <w:t>139</w:t>
            </w: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 recognized directly in shareholders’ equity</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Revaluation of liability for put option on non- controlling interests</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1,501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shares (net of issuance cost)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184</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175,166</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175,350</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Own shares acquired</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(24,696)</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(24,737)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based payments</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16,042</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16,042</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Exercise of share options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1,814</w:t>
            </w:r>
          </w:p>
        </w:tc>
        <w:tc>
          <w:tcPr>
            <w:tcW w:w="3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351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240,989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w w:val="86"/>
              </w:rPr>
              <w:t>494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58,778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300,612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for the year</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2,836</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 recognized directly in shareholders’ equity</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Issuance of shares in a Business Combination</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14,092</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14,117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 of liability for put option on non- controlling interests</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Own shares acquired</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(9,950)</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based payments</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18,770</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Exercise of share options</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930</w:t>
            </w:r>
          </w:p>
        </w:tc>
        <w:tc>
          <w:tcPr>
            <w:tcW w:w="3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380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264,831</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60,472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329,013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1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8"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Year ended</w:t>
      </w:r>
    </w:p>
    <w:p>
      <w:pPr>
        <w:jc w:val="center"/>
        <w:ind w:left="9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936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USD thousands</w:t>
            </w:r>
          </w:p>
        </w:tc>
        <w:tc>
          <w:tcPr>
            <w:tcW w:w="120" w:type="dxa"/>
            <w:vAlign w:val="bottom"/>
            <w:tcBorders>
              <w:bottom w:val="single" w:sz="8" w:color="CCEEFF"/>
            </w:tcBorders>
          </w:tcPr>
          <w:p>
            <w:pPr>
              <w:spacing w:after="0"/>
              <w:rPr>
                <w:sz w:val="12"/>
                <w:szCs w:val="12"/>
                <w:color w:val="auto"/>
              </w:rPr>
            </w:pPr>
          </w:p>
        </w:tc>
      </w:tr>
      <w:tr>
        <w:trPr>
          <w:trHeight w:val="209"/>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Profit for the year</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2,139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6,224</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for:</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45,187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32,359</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financing expense (income)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Loss on sale of fixed assets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 on leases change contracts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(2,705)</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Gain on sale of business unit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payment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15,809</w:t>
            </w:r>
          </w:p>
        </w:tc>
      </w:tr>
      <w:tr>
        <w:trPr>
          <w:trHeight w:val="230"/>
        </w:trPr>
        <w:tc>
          <w:tcPr>
            <w:tcW w:w="9360" w:type="dxa"/>
            <w:vAlign w:val="bottom"/>
          </w:tcPr>
          <w:p>
            <w:pPr>
              <w:ind w:left="720"/>
              <w:spacing w:after="0"/>
              <w:rPr>
                <w:sz w:val="20"/>
                <w:szCs w:val="20"/>
                <w:color w:val="auto"/>
              </w:rPr>
            </w:pPr>
            <w:r>
              <w:rPr>
                <w:rFonts w:ascii="Arial" w:cs="Arial" w:eastAsia="Arial" w:hAnsi="Arial"/>
                <w:sz w:val="18"/>
                <w:szCs w:val="18"/>
                <w:color w:val="auto"/>
              </w:rPr>
              <w:t>Tax benefit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(9,581)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(2,636)</w:t>
            </w:r>
          </w:p>
        </w:tc>
      </w:tr>
      <w:tr>
        <w:trPr>
          <w:trHeight w:val="94"/>
        </w:trPr>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trade and other receivables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(39,351)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36,466</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Change in trade and other payables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25,882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(34,203)</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employee benefits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Income taxes received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1,168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3,184</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paid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(8,089)</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Interest received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604</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paid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w:t>
            </w:r>
          </w:p>
        </w:tc>
      </w:tr>
      <w:tr>
        <w:trPr>
          <w:trHeight w:val="230"/>
        </w:trPr>
        <w:tc>
          <w:tcPr>
            <w:tcW w:w="936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35,163</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45,073</w:t>
            </w:r>
          </w:p>
        </w:tc>
        <w:tc>
          <w:tcPr>
            <w:tcW w:w="120" w:type="dxa"/>
            <w:vAlign w:val="bottom"/>
          </w:tcPr>
          <w:p>
            <w:pPr>
              <w:spacing w:after="0"/>
              <w:rPr>
                <w:sz w:val="20"/>
                <w:szCs w:val="20"/>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Change in pledged deposits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841</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Leases receipt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1,669</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Repayment of long-term loans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fixed assets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Acquisition and capitalization of intangible assets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(4,858)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(5,672)</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intangible assets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Proceeds from sale of business unit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bank deposit, net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Acquisition of subsidiaries, net of cash acquired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6,208</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23,714</w:t>
            </w:r>
          </w:p>
        </w:tc>
        <w:tc>
          <w:tcPr>
            <w:tcW w:w="120" w:type="dxa"/>
            <w:vAlign w:val="bottom"/>
          </w:tcPr>
          <w:p>
            <w:pPr>
              <w:spacing w:after="0"/>
              <w:rPr>
                <w:sz w:val="19"/>
                <w:szCs w:val="19"/>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investing activities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19,438</w:t>
            </w: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loans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(17,273)</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Acquisition of own shares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(9,965)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(24,737)</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share options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1,824</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Leases repayment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(13,351)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(12,607)</w:t>
            </w:r>
          </w:p>
        </w:tc>
      </w:tr>
      <w:tr>
        <w:trPr>
          <w:trHeight w:val="27"/>
        </w:trPr>
        <w:tc>
          <w:tcPr>
            <w:tcW w:w="9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(22,367)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(52,793)</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17,715</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11,718</w:t>
            </w:r>
          </w:p>
        </w:tc>
        <w:tc>
          <w:tcPr>
            <w:tcW w:w="1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AS OF THE BEGINNING OF YEAR</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79,047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67,073</w:t>
            </w: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EFFECT OF EXCHANGE RATE FLUCTUATIONS ON CASH AND CASH EQUIVALENTS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AS OF THE END OF YEAR</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97,463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79,047</w:t>
            </w:r>
          </w:p>
        </w:tc>
      </w:tr>
      <w:tr>
        <w:trPr>
          <w:trHeight w:val="20"/>
        </w:trPr>
        <w:tc>
          <w:tcPr>
            <w:tcW w:w="9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1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131" w:lineRule="exact"/>
        <w:rPr>
          <w:sz w:val="20"/>
          <w:szCs w:val="20"/>
          <w:color w:val="auto"/>
        </w:rPr>
      </w:pPr>
    </w:p>
    <w:p>
      <w:pPr>
        <w:ind w:left="1740" w:hanging="423"/>
        <w:spacing w:after="0"/>
        <w:tabs>
          <w:tab w:leader="none" w:pos="17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entity:</w:t>
      </w:r>
    </w:p>
    <w:p>
      <w:pPr>
        <w:spacing w:after="0" w:line="121" w:lineRule="exact"/>
        <w:rPr>
          <w:rFonts w:ascii="Arial" w:cs="Arial" w:eastAsia="Arial" w:hAnsi="Arial"/>
          <w:sz w:val="18"/>
          <w:szCs w:val="18"/>
          <w:b w:val="1"/>
          <w:bCs w:val="1"/>
          <w:color w:val="auto"/>
        </w:rPr>
      </w:pPr>
    </w:p>
    <w:p>
      <w:pPr>
        <w:jc w:val="both"/>
        <w:ind w:left="17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Tremor International Ltd. (the “Company” or “Tremor International”), formerly known as Taptica International Ltd., was incorporated in Israel under the laws of the State of Israel on March 20, 2007. The ordinary shares of the Company are listed on the AIM Market of the London Stock Exchange. The address of the registered office is 121 Hahashmonaim Street Tel-Aviv, Israel.</w:t>
      </w:r>
    </w:p>
    <w:p>
      <w:pPr>
        <w:spacing w:after="0" w:line="78" w:lineRule="exact"/>
        <w:rPr>
          <w:rFonts w:ascii="Arial" w:cs="Arial" w:eastAsia="Arial" w:hAnsi="Arial"/>
          <w:sz w:val="18"/>
          <w:szCs w:val="18"/>
          <w:b w:val="1"/>
          <w:bCs w:val="1"/>
          <w:color w:val="auto"/>
        </w:rPr>
      </w:pPr>
    </w:p>
    <w:p>
      <w:pPr>
        <w:jc w:val="both"/>
        <w:ind w:left="17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Tremor International is a global Company offering an end-to-end software platform that supports a wide range of media types (e.g., video, display, etc.) and devices (e.g., mobile, Connected TVs, streaming devices, desktop, etc.), creating an efficient marketplace where advertisers (buyers) are able to purchase high quality advertising inventory from publishers (sellers) at scale. Tremor Video Inc. (“Tremor Video’’), a wholly owned subsidiary, is the Company’s Demand Side Platform (“DSP”) providing full-service and self-managed marketplace access to advertisers and agencies in order to execute their digital marketing campaigns in real time across various ad formats. RhythmOne PLC (“RhythmOne’’) and Unruly Holding Ltd (“Unruly”), both wholly owned subsidiaries, provide access to the Sell Side Platform (“SSP”) which is designed to monetize digital inventory for publishers and app developers by enabling their content to have the necessary code and requirements for programmatic advertising integration. The SSP provides access to significant amounts of data, unique demand and a comprehensive product suite to drive more effective inventory management and revenue optimization. The Company also provides a Data Management Platform (“DMP”) solution which integrates both DSP and SSP solutions enabling advertisers and publishers to use data from various sources in order to optimize results of their advertising campaigns.</w:t>
      </w:r>
    </w:p>
    <w:p>
      <w:pPr>
        <w:spacing w:after="0" w:line="70"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6"/>
          <w:szCs w:val="16"/>
          <w:color w:val="auto"/>
        </w:rPr>
        <w:t>Tremor International Ltd. is headquartered in Israel and maintains offices throughout the US, Canada, EMEA and Asia-Pacific.</w:t>
      </w:r>
    </w:p>
    <w:p>
      <w:pPr>
        <w:spacing w:after="0" w:line="140" w:lineRule="exact"/>
        <w:rPr>
          <w:rFonts w:ascii="Arial" w:cs="Arial" w:eastAsia="Arial" w:hAnsi="Arial"/>
          <w:sz w:val="18"/>
          <w:szCs w:val="18"/>
          <w:b w:val="1"/>
          <w:bCs w:val="1"/>
          <w:color w:val="auto"/>
        </w:rPr>
      </w:pPr>
    </w:p>
    <w:p>
      <w:pPr>
        <w:jc w:val="both"/>
        <w:ind w:left="17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April 1, 2019, the Company completed an acquisition transaction with RhythmOne and on January 4, 2020 the Company completed an acquisition transaction with Unruly, see Note 19b. Following the acquisition of RhythmOne and Unruly, the Company invested and developed capabilities both in the DSP and SSP solutions which launched in 2020 to offer an end-to-end platform that provides customers access to an advertising marketplace in an efficient and scalable manner utilizing machine learning, artificial intelligence and advanced algorithms. As a result of those acquisitions and their influence on the Company’s operation and other changes in the industry practice, the Company has changed revenue presentation as of 2020 to a net basis with respect to its programmatic activity (see Note 3k).</w:t>
      </w:r>
    </w:p>
    <w:p>
      <w:pPr>
        <w:spacing w:after="0" w:line="86" w:lineRule="exact"/>
        <w:rPr>
          <w:rFonts w:ascii="Arial" w:cs="Arial" w:eastAsia="Arial" w:hAnsi="Arial"/>
          <w:sz w:val="18"/>
          <w:szCs w:val="18"/>
          <w:b w:val="1"/>
          <w:bCs w:val="1"/>
          <w:color w:val="auto"/>
        </w:rPr>
      </w:pPr>
    </w:p>
    <w:p>
      <w:pPr>
        <w:jc w:val="both"/>
        <w:ind w:left="17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global spread of COVID-19, which was declared a global pandemic by the World Health Organization in March 2020, has created significant volatility, global macro-economic uncertainty and disruption in the business and financial markets. The COVID-19 pandemic and efforts to control its spread have curtailed the movement of people, goods, and services worldwide, including in the regions in which we and our customers and partners operate, and are impacting economic activity and financial markets. The spread of the COVID-19 pandemic has resulted in, regional quarantines, labor shortages or stoppages, changes in consumer purchasing patterns, and overall economic instability.</w:t>
      </w:r>
    </w:p>
    <w:p>
      <w:pPr>
        <w:spacing w:after="0" w:line="69"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COVID-19 pandemic has negatively impacted the first half of the year 2020, and may continue to negatively impact, our revenue and results of operations, the extent and duration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 (Cont.)</w:t>
      </w:r>
    </w:p>
    <w:p>
      <w:pPr>
        <w:spacing w:after="0" w:line="135" w:lineRule="exact"/>
        <w:rPr>
          <w:sz w:val="20"/>
          <w:szCs w:val="20"/>
          <w:color w:val="auto"/>
        </w:rPr>
      </w:pPr>
    </w:p>
    <w:p>
      <w:pPr>
        <w:jc w:val="both"/>
        <w:ind w:left="1760"/>
        <w:spacing w:after="0" w:line="301" w:lineRule="auto"/>
        <w:rPr>
          <w:sz w:val="20"/>
          <w:szCs w:val="20"/>
          <w:color w:val="auto"/>
        </w:rPr>
      </w:pPr>
      <w:r>
        <w:rPr>
          <w:rFonts w:ascii="Arial" w:cs="Arial" w:eastAsia="Arial" w:hAnsi="Arial"/>
          <w:sz w:val="16"/>
          <w:szCs w:val="16"/>
          <w:color w:val="auto"/>
        </w:rPr>
        <w:t>which we may not be able to accurately predict. The Company has introduced a number of measures to mitigate the impact of COVID-19, including cost-cutting initiatives with respect to reducing operating expenses, reducing headcount, freezing new hires, as well as accelerating the integration of Unruly which has been completed two months ahead of schedule. The Company continues to monitor and assess the impact of the COVID-19 pandemic on its operation, its customers and potential customers.</w:t>
      </w:r>
    </w:p>
    <w:p>
      <w:pPr>
        <w:spacing w:after="0" w:line="302" w:lineRule="exact"/>
        <w:rPr>
          <w:sz w:val="20"/>
          <w:szCs w:val="20"/>
          <w:color w:val="auto"/>
        </w:rPr>
      </w:pPr>
    </w:p>
    <w:p>
      <w:pPr>
        <w:ind w:left="1740" w:hanging="423"/>
        <w:spacing w:after="0"/>
        <w:tabs>
          <w:tab w:leader="none" w:pos="17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In these financial statements –</w:t>
      </w:r>
    </w:p>
    <w:p>
      <w:pPr>
        <w:spacing w:after="0" w:line="252" w:lineRule="exact"/>
        <w:rPr>
          <w:sz w:val="20"/>
          <w:szCs w:val="20"/>
          <w:color w:val="auto"/>
        </w:rPr>
      </w:pPr>
    </w:p>
    <w:tbl>
      <w:tblPr>
        <w:tblLayout w:type="fixed"/>
        <w:tblInd w:w="178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The Company</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380" w:type="dxa"/>
            <w:vAlign w:val="bottom"/>
          </w:tcPr>
          <w:p>
            <w:pPr>
              <w:ind w:left="280"/>
              <w:spacing w:after="0"/>
              <w:rPr>
                <w:sz w:val="20"/>
                <w:szCs w:val="20"/>
                <w:color w:val="auto"/>
              </w:rPr>
            </w:pPr>
            <w:r>
              <w:rPr>
                <w:rFonts w:ascii="Arial" w:cs="Arial" w:eastAsia="Arial" w:hAnsi="Arial"/>
                <w:sz w:val="18"/>
                <w:szCs w:val="18"/>
                <w:color w:val="auto"/>
              </w:rPr>
              <w:t>Tremor International Ltd.</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The Group</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380" w:type="dxa"/>
            <w:vAlign w:val="bottom"/>
          </w:tcPr>
          <w:p>
            <w:pPr>
              <w:ind w:left="280"/>
              <w:spacing w:after="0"/>
              <w:rPr>
                <w:sz w:val="20"/>
                <w:szCs w:val="20"/>
                <w:color w:val="auto"/>
              </w:rPr>
            </w:pPr>
            <w:r>
              <w:rPr>
                <w:rFonts w:ascii="Arial" w:cs="Arial" w:eastAsia="Arial" w:hAnsi="Arial"/>
                <w:sz w:val="18"/>
                <w:szCs w:val="18"/>
                <w:color w:val="auto"/>
              </w:rPr>
              <w:t>Tremor International Ltd. and its subsidiaries.</w:t>
            </w: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Subsidiaries</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380" w:type="dxa"/>
            <w:vAlign w:val="bottom"/>
          </w:tcPr>
          <w:p>
            <w:pPr>
              <w:ind w:left="280"/>
              <w:spacing w:after="0"/>
              <w:rPr>
                <w:sz w:val="20"/>
                <w:szCs w:val="20"/>
                <w:color w:val="auto"/>
              </w:rPr>
            </w:pPr>
            <w:r>
              <w:rPr>
                <w:rFonts w:ascii="Arial" w:cs="Arial" w:eastAsia="Arial" w:hAnsi="Arial"/>
                <w:sz w:val="18"/>
                <w:szCs w:val="18"/>
                <w:color w:val="auto"/>
                <w:w w:val="95"/>
              </w:rPr>
              <w:t>Companies, the financial statements of which are fully consolidated, directly or indirectly, with</w:t>
            </w:r>
          </w:p>
        </w:tc>
      </w:tr>
      <w:tr>
        <w:trPr>
          <w:trHeight w:val="216"/>
        </w:trPr>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380" w:type="dxa"/>
            <w:vAlign w:val="bottom"/>
          </w:tcPr>
          <w:p>
            <w:pPr>
              <w:ind w:left="280"/>
              <w:spacing w:after="0"/>
              <w:rPr>
                <w:sz w:val="20"/>
                <w:szCs w:val="20"/>
                <w:color w:val="auto"/>
              </w:rPr>
            </w:pPr>
            <w:r>
              <w:rPr>
                <w:rFonts w:ascii="Arial" w:cs="Arial" w:eastAsia="Arial" w:hAnsi="Arial"/>
                <w:sz w:val="18"/>
                <w:szCs w:val="18"/>
                <w:color w:val="auto"/>
                <w:w w:val="93"/>
              </w:rPr>
              <w:t>the financial statements of the Company such as RhythmOne PLC, Unruly Holding Ltd, Tremor</w:t>
            </w:r>
          </w:p>
        </w:tc>
      </w:tr>
      <w:tr>
        <w:trPr>
          <w:trHeight w:val="230"/>
        </w:trPr>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380" w:type="dxa"/>
            <w:vAlign w:val="bottom"/>
          </w:tcPr>
          <w:p>
            <w:pPr>
              <w:ind w:left="280"/>
              <w:spacing w:after="0"/>
              <w:rPr>
                <w:sz w:val="20"/>
                <w:szCs w:val="20"/>
                <w:color w:val="auto"/>
              </w:rPr>
            </w:pPr>
            <w:r>
              <w:rPr>
                <w:rFonts w:ascii="Arial" w:cs="Arial" w:eastAsia="Arial" w:hAnsi="Arial"/>
                <w:sz w:val="18"/>
                <w:szCs w:val="18"/>
                <w:color w:val="auto"/>
              </w:rPr>
              <w:t>Video Inc.</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Related party</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380" w:type="dxa"/>
            <w:vAlign w:val="bottom"/>
          </w:tcPr>
          <w:p>
            <w:pPr>
              <w:ind w:left="280"/>
              <w:spacing w:after="0"/>
              <w:rPr>
                <w:sz w:val="20"/>
                <w:szCs w:val="20"/>
                <w:color w:val="auto"/>
              </w:rPr>
            </w:pPr>
            <w:r>
              <w:rPr>
                <w:rFonts w:ascii="Arial" w:cs="Arial" w:eastAsia="Arial" w:hAnsi="Arial"/>
                <w:sz w:val="18"/>
                <w:szCs w:val="18"/>
                <w:color w:val="auto"/>
              </w:rPr>
              <w:t>As defined by IAS 24, “Related Party Disclosures”.</w:t>
            </w:r>
          </w:p>
        </w:tc>
      </w:tr>
    </w:tbl>
    <w:p>
      <w:pPr>
        <w:spacing w:after="0" w:line="22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PREPARATION</w:t>
      </w:r>
    </w:p>
    <w:p>
      <w:pPr>
        <w:spacing w:after="0" w:line="131" w:lineRule="exact"/>
        <w:rPr>
          <w:sz w:val="20"/>
          <w:szCs w:val="20"/>
          <w:color w:val="auto"/>
        </w:rPr>
      </w:pPr>
    </w:p>
    <w:p>
      <w:pPr>
        <w:ind w:left="1740" w:hanging="423"/>
        <w:spacing w:after="0"/>
        <w:tabs>
          <w:tab w:leader="none" w:pos="17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compliance:</w:t>
      </w:r>
    </w:p>
    <w:p>
      <w:pPr>
        <w:spacing w:after="0" w:line="121"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International Financial Reporting Standards (“IFRS”) as issued by the International Accounting Standards Board (“IASB”).</w:t>
      </w:r>
    </w:p>
    <w:p>
      <w:pPr>
        <w:spacing w:after="0" w:line="62"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were authorized for issue by the Company’s Board of Directors on March 10, 2021.</w:t>
      </w:r>
    </w:p>
    <w:p>
      <w:pPr>
        <w:spacing w:after="0" w:line="138" w:lineRule="exact"/>
        <w:rPr>
          <w:rFonts w:ascii="Arial" w:cs="Arial" w:eastAsia="Arial" w:hAnsi="Arial"/>
          <w:sz w:val="18"/>
          <w:szCs w:val="18"/>
          <w:b w:val="1"/>
          <w:bCs w:val="1"/>
          <w:color w:val="auto"/>
        </w:rPr>
      </w:pPr>
    </w:p>
    <w:p>
      <w:pPr>
        <w:ind w:left="1740" w:hanging="423"/>
        <w:spacing w:after="0"/>
        <w:tabs>
          <w:tab w:leader="none" w:pos="17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jc w:val="both"/>
        <w:ind w:left="17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are presented in US Dollars (“USD”), which is the Company’s functional currency, and have been rounded to the nearest thousands, except when otherwise indicated. The USD is the currency that represents the principal economic environment in which the Company operates.</w:t>
      </w:r>
    </w:p>
    <w:p>
      <w:pPr>
        <w:spacing w:after="0" w:line="85" w:lineRule="exact"/>
        <w:rPr>
          <w:rFonts w:ascii="Arial" w:cs="Arial" w:eastAsia="Arial" w:hAnsi="Arial"/>
          <w:sz w:val="18"/>
          <w:szCs w:val="18"/>
          <w:b w:val="1"/>
          <w:bCs w:val="1"/>
          <w:color w:val="auto"/>
        </w:rPr>
      </w:pPr>
    </w:p>
    <w:p>
      <w:pPr>
        <w:ind w:left="1740" w:hanging="423"/>
        <w:spacing w:after="0"/>
        <w:tabs>
          <w:tab w:leader="none" w:pos="17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have been prepared on a historical cost basis except for the following assets and liabilities:</w:t>
      </w:r>
    </w:p>
    <w:p>
      <w:pPr>
        <w:spacing w:after="0" w:line="153"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Deferred and current tax assets and liabilities</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Put option to non-controlling interests</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Provisions</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117" w:lineRule="exact"/>
        <w:rPr>
          <w:sz w:val="20"/>
          <w:szCs w:val="20"/>
          <w:color w:val="auto"/>
        </w:rPr>
      </w:pPr>
    </w:p>
    <w:p>
      <w:pPr>
        <w:ind w:left="1760" w:right="20"/>
        <w:spacing w:after="0" w:line="277" w:lineRule="auto"/>
        <w:rPr>
          <w:sz w:val="20"/>
          <w:szCs w:val="20"/>
          <w:color w:val="auto"/>
        </w:rPr>
      </w:pPr>
      <w:r>
        <w:rPr>
          <w:rFonts w:ascii="Arial" w:cs="Arial" w:eastAsia="Arial" w:hAnsi="Arial"/>
          <w:sz w:val="18"/>
          <w:szCs w:val="18"/>
          <w:color w:val="auto"/>
        </w:rPr>
        <w:t>For further information regarding the measurement of these assets and liabilities see Note 3 regarding significant accounting policies.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PREPARATION (Cont.)</w:t>
      </w:r>
    </w:p>
    <w:p>
      <w:pPr>
        <w:spacing w:after="0" w:line="131" w:lineRule="exact"/>
        <w:rPr>
          <w:sz w:val="20"/>
          <w:szCs w:val="20"/>
          <w:color w:val="auto"/>
        </w:rPr>
      </w:pPr>
    </w:p>
    <w:p>
      <w:pPr>
        <w:ind w:left="1740" w:hanging="423"/>
        <w:spacing w:after="0"/>
        <w:tabs>
          <w:tab w:leader="none" w:pos="17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judgments:</w:t>
      </w:r>
    </w:p>
    <w:p>
      <w:pPr>
        <w:spacing w:after="0" w:line="121" w:lineRule="exact"/>
        <w:rPr>
          <w:rFonts w:ascii="Arial" w:cs="Arial" w:eastAsia="Arial" w:hAnsi="Arial"/>
          <w:sz w:val="18"/>
          <w:szCs w:val="18"/>
          <w:b w:val="1"/>
          <w:bCs w:val="1"/>
          <w:color w:val="auto"/>
        </w:rPr>
      </w:pPr>
    </w:p>
    <w:p>
      <w:pPr>
        <w:jc w:val="both"/>
        <w:ind w:left="17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IFRS requires management of the Group to make judgments, estimates and assumptions that affect the application of accounting policies and the reported amounts of assets, liabilities, income and expenses. Actual results may differ from these estimates.</w:t>
      </w:r>
    </w:p>
    <w:p>
      <w:pPr>
        <w:spacing w:after="0" w:line="75" w:lineRule="exact"/>
        <w:rPr>
          <w:rFonts w:ascii="Arial" w:cs="Arial" w:eastAsia="Arial" w:hAnsi="Arial"/>
          <w:sz w:val="18"/>
          <w:szCs w:val="18"/>
          <w:b w:val="1"/>
          <w:bCs w:val="1"/>
          <w:color w:val="auto"/>
        </w:rPr>
      </w:pPr>
    </w:p>
    <w:p>
      <w:pPr>
        <w:jc w:val="both"/>
        <w:ind w:left="17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accounting estimates used in the preparation of the Group’s financial statements requires management of the Group to make assumptions regarding circumstances and events that involve considerable uncertainty. Management of the Group prepares estimates on the basis of past experience, various facts, external circumstances, and reasonable assumptions according to the pertinent circumstances of each estimate.</w:t>
      </w:r>
    </w:p>
    <w:p>
      <w:pPr>
        <w:spacing w:after="0" w:line="78"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Estimates and underlying assumptions are reviewed on an ongoing basis. Revisions to accounting estimates are recognized in the period in which the estimates are revised and in any future periods affected.</w:t>
      </w:r>
    </w:p>
    <w:p>
      <w:pPr>
        <w:spacing w:after="0" w:line="62" w:lineRule="exact"/>
        <w:rPr>
          <w:rFonts w:ascii="Arial" w:cs="Arial" w:eastAsia="Arial" w:hAnsi="Arial"/>
          <w:sz w:val="18"/>
          <w:szCs w:val="18"/>
          <w:b w:val="1"/>
          <w:bCs w:val="1"/>
          <w:color w:val="auto"/>
        </w:rPr>
      </w:pPr>
    </w:p>
    <w:p>
      <w:pPr>
        <w:jc w:val="both"/>
        <w:ind w:left="1760" w:right="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Information about assumptions made by the Group with respect to the future and other reasons for uncertainty with respect to estimates that have a significant risk of resulting in a material adjustment to carrying amounts of assets and liabilities in the next financial year are included in Note 6, on leases, with respect to determining the lease term and determining the discount rate of a lease liability, in Note 7, on intangible assets, with respect to the accounting of software development capitalization, in Note 4, on Income Tax, with respect to uncertain tax position and Note 19, on subsidiaries, with respect to business combinations.</w:t>
      </w:r>
    </w:p>
    <w:p>
      <w:pPr>
        <w:spacing w:after="0" w:line="305" w:lineRule="exact"/>
        <w:rPr>
          <w:rFonts w:ascii="Arial" w:cs="Arial" w:eastAsia="Arial" w:hAnsi="Arial"/>
          <w:sz w:val="18"/>
          <w:szCs w:val="18"/>
          <w:b w:val="1"/>
          <w:bCs w:val="1"/>
          <w:color w:val="auto"/>
        </w:rPr>
      </w:pPr>
    </w:p>
    <w:p>
      <w:pPr>
        <w:ind w:left="1740" w:hanging="423"/>
        <w:spacing w:after="0"/>
        <w:tabs>
          <w:tab w:leader="none" w:pos="17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fair value:</w:t>
      </w:r>
    </w:p>
    <w:p>
      <w:pPr>
        <w:spacing w:after="0" w:line="121" w:lineRule="exact"/>
        <w:rPr>
          <w:rFonts w:ascii="Arial" w:cs="Arial" w:eastAsia="Arial" w:hAnsi="Arial"/>
          <w:sz w:val="18"/>
          <w:szCs w:val="18"/>
          <w:b w:val="1"/>
          <w:bCs w:val="1"/>
          <w:color w:val="auto"/>
        </w:rPr>
      </w:pPr>
    </w:p>
    <w:p>
      <w:pPr>
        <w:jc w:val="both"/>
        <w:ind w:left="17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Preparation of the financial statements requires the Group to determine the fair value of certain assets and liabilities. When determining the fair value of an asset or liability, the Group uses observable market data as much as possible. There are three levels of fair value measurements in the fair value hierarchy that are based on the data used in the measurement, as follows:</w:t>
      </w:r>
    </w:p>
    <w:p>
      <w:pPr>
        <w:spacing w:after="0" w:line="54"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Level 3: inputs that are not based on observable market data (unobservable inputs).</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Further information about the assumptions that were used to determine fair value is included in the following notes:</w:t>
      </w:r>
    </w:p>
    <w:p>
      <w:pPr>
        <w:spacing w:after="0" w:line="131" w:lineRule="exact"/>
        <w:rPr>
          <w:sz w:val="20"/>
          <w:szCs w:val="20"/>
          <w:color w:val="auto"/>
        </w:rPr>
      </w:pPr>
    </w:p>
    <w:p>
      <w:pPr>
        <w:ind w:left="2300" w:hanging="537"/>
        <w:spacing w:after="0"/>
        <w:tabs>
          <w:tab w:leader="none" w:pos="23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Note 16, share-based payments;</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Note 17, financial instruments; and</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Note 19, subsidiaries (regarding business combinations).</w:t>
      </w:r>
    </w:p>
    <w:p>
      <w:pPr>
        <w:spacing w:after="0" w:line="369"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b w:val="1"/>
          <w:bCs w:val="1"/>
          <w:color w:val="auto"/>
        </w:rPr>
        <w:t>f.    Change in classification</w:t>
      </w:r>
    </w:p>
    <w:p>
      <w:pPr>
        <w:spacing w:after="0" w:line="121" w:lineRule="exact"/>
        <w:rPr>
          <w:rFonts w:ascii="Arial" w:cs="Arial" w:eastAsia="Arial" w:hAnsi="Arial"/>
          <w:sz w:val="18"/>
          <w:szCs w:val="18"/>
          <w:color w:val="auto"/>
        </w:rPr>
      </w:pPr>
    </w:p>
    <w:p>
      <w:pPr>
        <w:ind w:left="1760" w:right="20"/>
        <w:spacing w:after="0" w:line="277" w:lineRule="auto"/>
        <w:rPr>
          <w:rFonts w:ascii="Arial" w:cs="Arial" w:eastAsia="Arial" w:hAnsi="Arial"/>
          <w:sz w:val="18"/>
          <w:szCs w:val="18"/>
          <w:color w:val="auto"/>
        </w:rPr>
      </w:pPr>
      <w:r>
        <w:rPr>
          <w:rFonts w:ascii="Arial" w:cs="Arial" w:eastAsia="Arial" w:hAnsi="Arial"/>
          <w:sz w:val="18"/>
          <w:szCs w:val="18"/>
          <w:color w:val="auto"/>
        </w:rPr>
        <w:t>During the current year the Company reclassified the share-based compensation to share premium and reclassified other expenses (income) to operating expenses.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PREPARATION (Cont.)</w:t>
      </w:r>
    </w:p>
    <w:p>
      <w:pPr>
        <w:spacing w:after="0" w:line="135" w:lineRule="exact"/>
        <w:rPr>
          <w:sz w:val="20"/>
          <w:szCs w:val="20"/>
          <w:color w:val="auto"/>
        </w:rPr>
      </w:pPr>
    </w:p>
    <w:p>
      <w:pPr>
        <w:ind w:left="1760" w:right="20"/>
        <w:spacing w:after="0" w:line="277" w:lineRule="auto"/>
        <w:rPr>
          <w:sz w:val="20"/>
          <w:szCs w:val="20"/>
          <w:color w:val="auto"/>
        </w:rPr>
      </w:pPr>
      <w:r>
        <w:rPr>
          <w:rFonts w:ascii="Arial" w:cs="Arial" w:eastAsia="Arial" w:hAnsi="Arial"/>
          <w:sz w:val="18"/>
          <w:szCs w:val="18"/>
          <w:color w:val="auto"/>
        </w:rPr>
        <w:t>Furthermore, there was a correction of immaterial error in accrual for credit presented net of accounts receivables to other payables.</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This classification did not have any effect on the profit of year ended in December 31, 2019.</w:t>
      </w:r>
    </w:p>
    <w:p>
      <w:pPr>
        <w:spacing w:after="0" w:line="24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1320" w:right="20"/>
        <w:spacing w:after="0" w:line="277" w:lineRule="auto"/>
        <w:rPr>
          <w:sz w:val="20"/>
          <w:szCs w:val="20"/>
          <w:color w:val="auto"/>
        </w:rPr>
      </w:pPr>
      <w:r>
        <w:rPr>
          <w:rFonts w:ascii="Arial" w:cs="Arial" w:eastAsia="Arial" w:hAnsi="Arial"/>
          <w:sz w:val="18"/>
          <w:szCs w:val="18"/>
          <w:color w:val="auto"/>
        </w:rPr>
        <w:t>The accounting policies set out below have been applied consistently for all periods presented in these consolidated financial statements and have been applied consistently by Group entities.</w:t>
      </w:r>
    </w:p>
    <w:p>
      <w:pPr>
        <w:spacing w:after="0" w:line="315" w:lineRule="exact"/>
        <w:rPr>
          <w:sz w:val="20"/>
          <w:szCs w:val="20"/>
          <w:color w:val="auto"/>
        </w:rPr>
      </w:pPr>
    </w:p>
    <w:p>
      <w:pPr>
        <w:ind w:left="1740" w:hanging="423"/>
        <w:spacing w:after="0"/>
        <w:tabs>
          <w:tab w:leader="none" w:pos="17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34"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17" w:lineRule="exact"/>
        <w:rPr>
          <w:rFonts w:ascii="Arial" w:cs="Arial" w:eastAsia="Arial" w:hAnsi="Arial"/>
          <w:sz w:val="18"/>
          <w:szCs w:val="18"/>
          <w:color w:val="auto"/>
        </w:rPr>
      </w:pPr>
    </w:p>
    <w:p>
      <w:pPr>
        <w:jc w:val="both"/>
        <w:ind w:left="2320"/>
        <w:spacing w:after="0" w:line="279" w:lineRule="auto"/>
        <w:rPr>
          <w:rFonts w:ascii="Arial" w:cs="Arial" w:eastAsia="Arial" w:hAnsi="Arial"/>
          <w:sz w:val="18"/>
          <w:szCs w:val="18"/>
          <w:color w:val="auto"/>
        </w:rPr>
      </w:pPr>
      <w:r>
        <w:rPr>
          <w:rFonts w:ascii="Arial" w:cs="Arial" w:eastAsia="Arial" w:hAnsi="Arial"/>
          <w:sz w:val="17"/>
          <w:szCs w:val="17"/>
          <w:color w:val="auto"/>
        </w:rPr>
        <w:t>The Group implements the acquisition method to all business combinations. The acquisition date is the date on which the acquirer obtains control over the acquiree. Control exists when the Group is exposed, or has rights, to variable returns from its involvement with the acquiree and it has the ability to affect those returns through its power over the acquiree. Substantive rights held by the Group and others are taken into account when assessing control.</w:t>
      </w:r>
    </w:p>
    <w:p>
      <w:pPr>
        <w:spacing w:after="0" w:line="63"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The Group recognizes goodwill on acquisition according to the fair value of the consideration transferred less the net amount of the identifiable assets acquired and the liabilities assumed.</w:t>
      </w:r>
    </w:p>
    <w:p>
      <w:pPr>
        <w:spacing w:after="0" w:line="62" w:lineRule="exact"/>
        <w:rPr>
          <w:rFonts w:ascii="Arial" w:cs="Arial" w:eastAsia="Arial" w:hAnsi="Arial"/>
          <w:sz w:val="18"/>
          <w:szCs w:val="18"/>
          <w:color w:val="auto"/>
        </w:rPr>
      </w:pPr>
    </w:p>
    <w:p>
      <w:pPr>
        <w:jc w:val="both"/>
        <w:ind w:left="2320"/>
        <w:spacing w:after="0" w:line="257" w:lineRule="auto"/>
        <w:rPr>
          <w:rFonts w:ascii="Arial" w:cs="Arial" w:eastAsia="Arial" w:hAnsi="Arial"/>
          <w:sz w:val="18"/>
          <w:szCs w:val="18"/>
          <w:color w:val="auto"/>
        </w:rPr>
      </w:pPr>
      <w:r>
        <w:rPr>
          <w:rFonts w:ascii="Arial" w:cs="Arial" w:eastAsia="Arial" w:hAnsi="Arial"/>
          <w:sz w:val="18"/>
          <w:szCs w:val="18"/>
          <w:color w:val="auto"/>
        </w:rPr>
        <w:t>The consideration transferred includes the fair value of the assets transferred to the previous owners of the acquiree, the liabilities incurred by the acquirer to the previous owners of the acquiree and equity instruments that were issued by the Group. In addition, the consideration transferred includes the fair value of any contingent consideration. After the acquisition date, the Group recognizes changes in the fair value of contingent consideration classified as a financial liability in profit or loss.</w:t>
      </w:r>
    </w:p>
    <w:p>
      <w:pPr>
        <w:spacing w:after="0" w:line="79" w:lineRule="exact"/>
        <w:rPr>
          <w:rFonts w:ascii="Arial" w:cs="Arial" w:eastAsia="Arial" w:hAnsi="Arial"/>
          <w:sz w:val="18"/>
          <w:szCs w:val="18"/>
          <w:color w:val="auto"/>
        </w:rPr>
      </w:pPr>
    </w:p>
    <w:p>
      <w:pPr>
        <w:jc w:val="both"/>
        <w:ind w:left="2320"/>
        <w:spacing w:after="0" w:line="254" w:lineRule="auto"/>
        <w:rPr>
          <w:rFonts w:ascii="Arial" w:cs="Arial" w:eastAsia="Arial" w:hAnsi="Arial"/>
          <w:sz w:val="18"/>
          <w:szCs w:val="18"/>
          <w:color w:val="auto"/>
        </w:rPr>
      </w:pPr>
      <w:r>
        <w:rPr>
          <w:rFonts w:ascii="Arial" w:cs="Arial" w:eastAsia="Arial" w:hAnsi="Arial"/>
          <w:sz w:val="18"/>
          <w:szCs w:val="18"/>
          <w:color w:val="auto"/>
        </w:rPr>
        <w:t>If share-based payment awards (replacement awards) are required to be exchanged for awards held by the acquiree’s employees (acquiree’s awards) and relate to past services, then all or a portion of the amount of the acquirer’s replacement awards is included in measuring the consideration transferred in the business combination. This determination is based on the market-based value of the replacement awards compared with the market-based value of the acquiree’s awards and the extent to which the replacement awards relate to past and/or future service. The unvested portion of the replacement award that is attributed to post-acquisition services is recognized as a compensation cost following the business combination.</w:t>
      </w:r>
    </w:p>
    <w:p>
      <w:pPr>
        <w:spacing w:after="0" w:line="86" w:lineRule="exact"/>
        <w:rPr>
          <w:rFonts w:ascii="Arial" w:cs="Arial" w:eastAsia="Arial" w:hAnsi="Arial"/>
          <w:sz w:val="18"/>
          <w:szCs w:val="18"/>
          <w:color w:val="auto"/>
        </w:rPr>
      </w:pPr>
    </w:p>
    <w:p>
      <w:pPr>
        <w:jc w:val="both"/>
        <w:ind w:left="2320" w:right="20"/>
        <w:spacing w:after="0" w:line="263" w:lineRule="auto"/>
        <w:rPr>
          <w:rFonts w:ascii="Arial" w:cs="Arial" w:eastAsia="Arial" w:hAnsi="Arial"/>
          <w:sz w:val="18"/>
          <w:szCs w:val="18"/>
          <w:color w:val="auto"/>
        </w:rPr>
      </w:pPr>
      <w:r>
        <w:rPr>
          <w:rFonts w:ascii="Arial" w:cs="Arial" w:eastAsia="Arial" w:hAnsi="Arial"/>
          <w:sz w:val="18"/>
          <w:szCs w:val="18"/>
          <w:color w:val="auto"/>
        </w:rPr>
        <w:t>Costs associated with the acquisitions that were incurred by the acquirer in the business combination such as: finder’s fees, advisory, legal, valuation and other professional or consulting fees are expensed in the period the services are received.</w:t>
      </w:r>
    </w:p>
    <w:p>
      <w:pPr>
        <w:spacing w:after="0" w:line="332" w:lineRule="exact"/>
        <w:rPr>
          <w:rFonts w:ascii="Arial" w:cs="Arial" w:eastAsia="Arial" w:hAnsi="Arial"/>
          <w:sz w:val="18"/>
          <w:szCs w:val="18"/>
          <w:color w:val="auto"/>
        </w:rPr>
      </w:pPr>
    </w:p>
    <w:p>
      <w:pPr>
        <w:ind w:left="2300" w:hanging="537"/>
        <w:spacing w:after="0"/>
        <w:tabs>
          <w:tab w:leader="none" w:pos="2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17"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Subsidiaries are entities controlled by the Group. The financial statements of the subsidiaries are included in the consolidated financial statements from the date that control commenced, until the date that control is lost.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2300" w:hanging="537"/>
        <w:spacing w:after="0"/>
        <w:tabs>
          <w:tab w:leader="none" w:pos="2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Transactions eliminated on consolidation:</w:t>
      </w:r>
    </w:p>
    <w:p>
      <w:pPr>
        <w:spacing w:after="0" w:line="117"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Intra-group balances and transactions, and any unrealized income and expenses arising from intra-group transactions, are eliminated in preparing the consolidated financial statements.</w:t>
      </w:r>
    </w:p>
    <w:p>
      <w:pPr>
        <w:spacing w:after="0" w:line="318" w:lineRule="exact"/>
        <w:rPr>
          <w:rFonts w:ascii="Arial" w:cs="Arial" w:eastAsia="Arial" w:hAnsi="Arial"/>
          <w:sz w:val="18"/>
          <w:szCs w:val="18"/>
          <w:color w:val="auto"/>
        </w:rPr>
      </w:pPr>
    </w:p>
    <w:p>
      <w:pPr>
        <w:ind w:left="2300" w:hanging="537"/>
        <w:spacing w:after="0"/>
        <w:tabs>
          <w:tab w:leader="none" w:pos="2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Issuance of put option to non-controlling interests:</w:t>
      </w:r>
    </w:p>
    <w:p>
      <w:pPr>
        <w:spacing w:after="0" w:line="117" w:lineRule="exact"/>
        <w:rPr>
          <w:rFonts w:ascii="Arial" w:cs="Arial" w:eastAsia="Arial" w:hAnsi="Arial"/>
          <w:sz w:val="18"/>
          <w:szCs w:val="18"/>
          <w:color w:val="auto"/>
        </w:rPr>
      </w:pPr>
    </w:p>
    <w:p>
      <w:pPr>
        <w:jc w:val="both"/>
        <w:ind w:left="2320" w:right="20"/>
        <w:spacing w:after="0" w:line="311" w:lineRule="auto"/>
        <w:rPr>
          <w:rFonts w:ascii="Arial" w:cs="Arial" w:eastAsia="Arial" w:hAnsi="Arial"/>
          <w:sz w:val="18"/>
          <w:szCs w:val="18"/>
          <w:color w:val="auto"/>
        </w:rPr>
      </w:pPr>
      <w:r>
        <w:rPr>
          <w:rFonts w:ascii="Arial" w:cs="Arial" w:eastAsia="Arial" w:hAnsi="Arial"/>
          <w:sz w:val="16"/>
          <w:szCs w:val="16"/>
          <w:color w:val="auto"/>
        </w:rPr>
        <w:t>A put option issued by the Company to non-controlling interests that is settled in cash is recognized as a liability at the present value of the exercise price under the anticipated acquisition method. In subsequent periods, the Group elected to account for the changes in the value of the liability in respect of put options in shareholders’ equity (see also Note 17(e)).</w:t>
      </w:r>
    </w:p>
    <w:p>
      <w:pPr>
        <w:spacing w:after="0" w:line="40"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Accordingly, the Group’s share of a subsidiary’s profits includes the share of the non-controlling interests to which the Group issued a put option.</w:t>
      </w:r>
    </w:p>
    <w:p>
      <w:pPr>
        <w:spacing w:after="0" w:line="314" w:lineRule="exact"/>
        <w:rPr>
          <w:rFonts w:ascii="Arial" w:cs="Arial" w:eastAsia="Arial" w:hAnsi="Arial"/>
          <w:sz w:val="18"/>
          <w:szCs w:val="18"/>
          <w:color w:val="auto"/>
        </w:rPr>
      </w:pPr>
    </w:p>
    <w:p>
      <w:pPr>
        <w:ind w:left="1740" w:hanging="423"/>
        <w:spacing w:after="0"/>
        <w:tabs>
          <w:tab w:leader="none" w:pos="17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34"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117" w:lineRule="exact"/>
        <w:rPr>
          <w:rFonts w:ascii="Arial" w:cs="Arial" w:eastAsia="Arial" w:hAnsi="Arial"/>
          <w:sz w:val="18"/>
          <w:szCs w:val="18"/>
          <w:color w:val="auto"/>
        </w:rPr>
      </w:pPr>
    </w:p>
    <w:p>
      <w:pPr>
        <w:jc w:val="both"/>
        <w:ind w:left="2320" w:right="20"/>
        <w:spacing w:after="0" w:line="255" w:lineRule="auto"/>
        <w:rPr>
          <w:rFonts w:ascii="Arial" w:cs="Arial" w:eastAsia="Arial" w:hAnsi="Arial"/>
          <w:sz w:val="18"/>
          <w:szCs w:val="18"/>
          <w:color w:val="auto"/>
        </w:rPr>
      </w:pPr>
      <w:r>
        <w:rPr>
          <w:rFonts w:ascii="Arial" w:cs="Arial" w:eastAsia="Arial" w:hAnsi="Arial"/>
          <w:sz w:val="18"/>
          <w:szCs w:val="18"/>
          <w:color w:val="auto"/>
        </w:rPr>
        <w:t>Transactions in foreign currencies are translated to the respective functional currencies of the Group at exchange rates at the dates of the transactions. Monetary assets and liabilities denominated in foreign currencies at the reporting date are translated in to the functional currency at the exchange rate on that date. The foreign currency gain or loss on monetary items is the difference between amortized cost in the functional currency at the beginning of the year, adjusted for effective interest and payments during the year, and the amortized cost in foreign currency translated at the exchange rate as of the end of the year.</w:t>
      </w:r>
    </w:p>
    <w:p>
      <w:pPr>
        <w:spacing w:after="0" w:line="84" w:lineRule="exact"/>
        <w:rPr>
          <w:rFonts w:ascii="Arial" w:cs="Arial" w:eastAsia="Arial" w:hAnsi="Arial"/>
          <w:sz w:val="18"/>
          <w:szCs w:val="18"/>
          <w:color w:val="auto"/>
        </w:rPr>
      </w:pPr>
    </w:p>
    <w:p>
      <w:pPr>
        <w:jc w:val="both"/>
        <w:ind w:left="2320"/>
        <w:spacing w:after="0" w:line="259" w:lineRule="auto"/>
        <w:rPr>
          <w:rFonts w:ascii="Arial" w:cs="Arial" w:eastAsia="Arial" w:hAnsi="Arial"/>
          <w:sz w:val="18"/>
          <w:szCs w:val="18"/>
          <w:color w:val="auto"/>
        </w:rPr>
      </w:pPr>
      <w:r>
        <w:rPr>
          <w:rFonts w:ascii="Arial" w:cs="Arial" w:eastAsia="Arial" w:hAnsi="Arial"/>
          <w:sz w:val="18"/>
          <w:szCs w:val="18"/>
          <w:color w:val="auto"/>
        </w:rPr>
        <w:t>Non-monetary assets and liabilities denominated in foreign currencies that are measured at fair value are retranslated to the functional currency at the exchange rate on the date that the fair value was determined. Non-monetary items that are measured in terms of historical cost in a foreign currency are translated using the exchange rate on the date of the transaction.</w:t>
      </w:r>
    </w:p>
    <w:p>
      <w:pPr>
        <w:spacing w:after="0" w:line="335" w:lineRule="exact"/>
        <w:rPr>
          <w:rFonts w:ascii="Arial" w:cs="Arial" w:eastAsia="Arial" w:hAnsi="Arial"/>
          <w:sz w:val="18"/>
          <w:szCs w:val="18"/>
          <w:color w:val="auto"/>
        </w:rPr>
      </w:pPr>
    </w:p>
    <w:p>
      <w:pPr>
        <w:ind w:left="2300" w:hanging="537"/>
        <w:spacing w:after="0"/>
        <w:tabs>
          <w:tab w:leader="none" w:pos="2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Foreign operations:</w:t>
      </w:r>
    </w:p>
    <w:p>
      <w:pPr>
        <w:spacing w:after="0" w:line="117" w:lineRule="exact"/>
        <w:rPr>
          <w:rFonts w:ascii="Arial" w:cs="Arial" w:eastAsia="Arial" w:hAnsi="Arial"/>
          <w:sz w:val="18"/>
          <w:szCs w:val="18"/>
          <w:color w:val="auto"/>
        </w:rPr>
      </w:pPr>
    </w:p>
    <w:p>
      <w:pPr>
        <w:jc w:val="both"/>
        <w:ind w:left="2320" w:right="20"/>
        <w:spacing w:after="0" w:line="263" w:lineRule="auto"/>
        <w:rPr>
          <w:rFonts w:ascii="Arial" w:cs="Arial" w:eastAsia="Arial" w:hAnsi="Arial"/>
          <w:sz w:val="18"/>
          <w:szCs w:val="18"/>
          <w:color w:val="auto"/>
        </w:rPr>
      </w:pPr>
      <w:r>
        <w:rPr>
          <w:rFonts w:ascii="Arial" w:cs="Arial" w:eastAsia="Arial" w:hAnsi="Arial"/>
          <w:sz w:val="18"/>
          <w:szCs w:val="18"/>
          <w:color w:val="auto"/>
        </w:rPr>
        <w:t>The assets and liabilities of foreign operations, including goodwill and fair value adjustments arising on acquisition, are translated to USD at exchange rates at the reporting date. The income and expenses of foreign operations are translated to USD at exchange rates at the dates of the transactions.</w:t>
      </w:r>
    </w:p>
    <w:p>
      <w:pPr>
        <w:spacing w:after="0" w:line="75"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6"/>
          <w:szCs w:val="16"/>
          <w:color w:val="auto"/>
        </w:rPr>
        <w:t>Foreign currency differences are recognized in other comprehensive income and are presented in shareholders’ equity.</w:t>
      </w:r>
    </w:p>
    <w:p>
      <w:pPr>
        <w:spacing w:after="0" w:line="392" w:lineRule="exact"/>
        <w:rPr>
          <w:rFonts w:ascii="Arial" w:cs="Arial" w:eastAsia="Arial" w:hAnsi="Arial"/>
          <w:sz w:val="18"/>
          <w:szCs w:val="18"/>
          <w:color w:val="auto"/>
        </w:rPr>
      </w:pPr>
    </w:p>
    <w:p>
      <w:pPr>
        <w:ind w:left="1740" w:hanging="423"/>
        <w:spacing w:after="0"/>
        <w:tabs>
          <w:tab w:leader="none" w:pos="17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34"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Non-derivative financial assets</w:t>
      </w:r>
    </w:p>
    <w:p>
      <w:pPr>
        <w:spacing w:after="0" w:line="117"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Initial recognition and measurement of financial assets</w:t>
      </w:r>
    </w:p>
    <w:p>
      <w:pPr>
        <w:spacing w:after="0" w:line="117" w:lineRule="exact"/>
        <w:rPr>
          <w:rFonts w:ascii="Arial" w:cs="Arial" w:eastAsia="Arial" w:hAnsi="Arial"/>
          <w:sz w:val="18"/>
          <w:szCs w:val="18"/>
          <w:color w:val="auto"/>
        </w:rPr>
      </w:pPr>
    </w:p>
    <w:p>
      <w:pPr>
        <w:ind w:left="2320"/>
        <w:spacing w:after="0" w:line="277" w:lineRule="auto"/>
        <w:rPr>
          <w:rFonts w:ascii="Arial" w:cs="Arial" w:eastAsia="Arial" w:hAnsi="Arial"/>
          <w:sz w:val="18"/>
          <w:szCs w:val="18"/>
          <w:color w:val="auto"/>
        </w:rPr>
      </w:pPr>
      <w:r>
        <w:rPr>
          <w:rFonts w:ascii="Arial" w:cs="Arial" w:eastAsia="Arial" w:hAnsi="Arial"/>
          <w:sz w:val="18"/>
          <w:szCs w:val="18"/>
          <w:color w:val="auto"/>
        </w:rPr>
        <w:t>The Group initially recognizes trade receivables and debt instruments issued on the date that they are created. All other financial assets are recognized initially on the trade date 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jc w:val="both"/>
        <w:ind w:left="2320" w:right="20"/>
        <w:spacing w:after="0" w:line="257" w:lineRule="auto"/>
        <w:rPr>
          <w:sz w:val="20"/>
          <w:szCs w:val="20"/>
          <w:color w:val="auto"/>
        </w:rPr>
      </w:pPr>
      <w:r>
        <w:rPr>
          <w:rFonts w:ascii="Arial" w:cs="Arial" w:eastAsia="Arial" w:hAnsi="Arial"/>
          <w:sz w:val="18"/>
          <w:szCs w:val="18"/>
          <w:color w:val="auto"/>
        </w:rPr>
        <w:t>which the Group becomes a party to the contractual provisions of the instrument. A financial asset is initially measured at fair value plus transaction costs that are directly attributable to the acquisition or issuance of the financial asset. A trade receivable without a significant financing component is initially measured at the transaction price. Receivables originating from contract assets are initially measured at the carrying amount of the contract assets on the date classification was changed from contract asset to receivables.</w:t>
      </w:r>
    </w:p>
    <w:p>
      <w:pPr>
        <w:spacing w:after="0" w:line="296" w:lineRule="exact"/>
        <w:rPr>
          <w:sz w:val="20"/>
          <w:szCs w:val="20"/>
          <w:color w:val="auto"/>
        </w:rPr>
      </w:pPr>
    </w:p>
    <w:p>
      <w:pPr>
        <w:ind w:left="2320"/>
        <w:spacing w:after="0"/>
        <w:rPr>
          <w:sz w:val="20"/>
          <w:szCs w:val="20"/>
          <w:color w:val="auto"/>
        </w:rPr>
      </w:pPr>
      <w:r>
        <w:rPr>
          <w:rFonts w:ascii="Arial" w:cs="Arial" w:eastAsia="Arial" w:hAnsi="Arial"/>
          <w:sz w:val="18"/>
          <w:szCs w:val="18"/>
          <w:b w:val="1"/>
          <w:bCs w:val="1"/>
          <w:i w:val="1"/>
          <w:iCs w:val="1"/>
          <w:color w:val="auto"/>
        </w:rPr>
        <w:t>Derecognition of financial assets</w:t>
      </w:r>
    </w:p>
    <w:p>
      <w:pPr>
        <w:spacing w:after="0" w:line="117" w:lineRule="exact"/>
        <w:rPr>
          <w:sz w:val="20"/>
          <w:szCs w:val="20"/>
          <w:color w:val="auto"/>
        </w:rPr>
      </w:pPr>
    </w:p>
    <w:p>
      <w:pPr>
        <w:jc w:val="both"/>
        <w:ind w:left="2320"/>
        <w:spacing w:after="0" w:line="301" w:lineRule="auto"/>
        <w:rPr>
          <w:sz w:val="20"/>
          <w:szCs w:val="20"/>
          <w:color w:val="auto"/>
        </w:rPr>
      </w:pPr>
      <w:r>
        <w:rPr>
          <w:rFonts w:ascii="Arial" w:cs="Arial" w:eastAsia="Arial" w:hAnsi="Arial"/>
          <w:sz w:val="16"/>
          <w:szCs w:val="16"/>
          <w:color w:val="auto"/>
        </w:rPr>
        <w:t>Financial assets are derecognized when the contractual rights of the Group to the cash flows from the asset expire, or the Group transfers the rights to receive the contractual cash flows on the financial asset in a transaction in which substantially all the risks and rewards of ownership of the financial asset are transferred. When the Group retains substantially all of the risks and rewards of ownership of the financial asset, it continues to recognize the financial asset.</w:t>
      </w:r>
    </w:p>
    <w:p>
      <w:pPr>
        <w:spacing w:after="0" w:line="265" w:lineRule="exact"/>
        <w:rPr>
          <w:sz w:val="20"/>
          <w:szCs w:val="20"/>
          <w:color w:val="auto"/>
        </w:rPr>
      </w:pPr>
    </w:p>
    <w:p>
      <w:pPr>
        <w:ind w:left="2320"/>
        <w:spacing w:after="0"/>
        <w:rPr>
          <w:sz w:val="20"/>
          <w:szCs w:val="20"/>
          <w:color w:val="auto"/>
        </w:rPr>
      </w:pPr>
      <w:r>
        <w:rPr>
          <w:rFonts w:ascii="Arial" w:cs="Arial" w:eastAsia="Arial" w:hAnsi="Arial"/>
          <w:sz w:val="18"/>
          <w:szCs w:val="18"/>
          <w:b w:val="1"/>
          <w:bCs w:val="1"/>
          <w:i w:val="1"/>
          <w:iCs w:val="1"/>
          <w:color w:val="auto"/>
        </w:rPr>
        <w:t>Classification of financial assets into categories and the accounting treatment of each category</w:t>
      </w:r>
    </w:p>
    <w:p>
      <w:pPr>
        <w:spacing w:after="0" w:line="117" w:lineRule="exact"/>
        <w:rPr>
          <w:sz w:val="20"/>
          <w:szCs w:val="20"/>
          <w:color w:val="auto"/>
        </w:rPr>
      </w:pPr>
    </w:p>
    <w:p>
      <w:pPr>
        <w:jc w:val="both"/>
        <w:ind w:left="2320"/>
        <w:spacing w:after="0" w:line="263" w:lineRule="auto"/>
        <w:rPr>
          <w:sz w:val="20"/>
          <w:szCs w:val="20"/>
          <w:color w:val="auto"/>
        </w:rPr>
      </w:pPr>
      <w:r>
        <w:rPr>
          <w:rFonts w:ascii="Arial" w:cs="Arial" w:eastAsia="Arial" w:hAnsi="Arial"/>
          <w:sz w:val="18"/>
          <w:szCs w:val="18"/>
          <w:color w:val="auto"/>
        </w:rPr>
        <w:t>Financial assets are classified at initial recognition to one of the following measurement categories: amortized cost; fair value through other comprehensive income – investments in debt instruments; fair value through other comprehensive income – investments in equity instruments; or fair value through profit or loss.</w:t>
      </w:r>
    </w:p>
    <w:p>
      <w:pPr>
        <w:spacing w:after="0" w:line="76" w:lineRule="exact"/>
        <w:rPr>
          <w:sz w:val="20"/>
          <w:szCs w:val="20"/>
          <w:color w:val="auto"/>
        </w:rPr>
      </w:pPr>
    </w:p>
    <w:p>
      <w:pPr>
        <w:jc w:val="both"/>
        <w:ind w:left="2320" w:right="20"/>
        <w:spacing w:after="0" w:line="263" w:lineRule="auto"/>
        <w:rPr>
          <w:sz w:val="20"/>
          <w:szCs w:val="20"/>
          <w:color w:val="auto"/>
        </w:rPr>
      </w:pPr>
      <w:r>
        <w:rPr>
          <w:rFonts w:ascii="Arial" w:cs="Arial" w:eastAsia="Arial" w:hAnsi="Arial"/>
          <w:sz w:val="18"/>
          <w:szCs w:val="18"/>
          <w:color w:val="auto"/>
        </w:rPr>
        <w:t>Financial assets are not reclassified in subsequent periods unless, and only if, the Group changes its business model for the management of financial debt assets, in which case the affected financial debt assets are reclassified at the beginning of the period following the change in the business model.</w:t>
      </w:r>
    </w:p>
    <w:p>
      <w:pPr>
        <w:spacing w:after="0" w:line="76" w:lineRule="exact"/>
        <w:rPr>
          <w:sz w:val="20"/>
          <w:szCs w:val="20"/>
          <w:color w:val="auto"/>
        </w:rPr>
      </w:pPr>
    </w:p>
    <w:p>
      <w:pPr>
        <w:jc w:val="both"/>
        <w:ind w:left="2320" w:right="20"/>
        <w:spacing w:after="0" w:line="259" w:lineRule="auto"/>
        <w:rPr>
          <w:sz w:val="20"/>
          <w:szCs w:val="20"/>
          <w:color w:val="auto"/>
        </w:rPr>
      </w:pPr>
      <w:r>
        <w:rPr>
          <w:rFonts w:ascii="Arial" w:cs="Arial" w:eastAsia="Arial" w:hAnsi="Arial"/>
          <w:sz w:val="18"/>
          <w:szCs w:val="18"/>
          <w:color w:val="auto"/>
        </w:rPr>
        <w:t>The Group has balances of trade and other receivables and deposits that are held within a business model whose objective is collecting contractual cash flows. The contractual cash flows of these financial assets represent solely payments of principal and interest that reflects consideration for the time value of money and the credit risk. Accordingly, these financial assets are measured at amortized cost.</w:t>
      </w:r>
    </w:p>
    <w:p>
      <w:pPr>
        <w:spacing w:after="0" w:line="295" w:lineRule="exact"/>
        <w:rPr>
          <w:sz w:val="20"/>
          <w:szCs w:val="20"/>
          <w:color w:val="auto"/>
        </w:rPr>
      </w:pPr>
    </w:p>
    <w:p>
      <w:pPr>
        <w:ind w:left="2320"/>
        <w:spacing w:after="0"/>
        <w:rPr>
          <w:sz w:val="20"/>
          <w:szCs w:val="20"/>
          <w:color w:val="auto"/>
        </w:rPr>
      </w:pPr>
      <w:r>
        <w:rPr>
          <w:rFonts w:ascii="Arial" w:cs="Arial" w:eastAsia="Arial" w:hAnsi="Arial"/>
          <w:sz w:val="18"/>
          <w:szCs w:val="18"/>
          <w:b w:val="1"/>
          <w:bCs w:val="1"/>
          <w:i w:val="1"/>
          <w:iCs w:val="1"/>
          <w:color w:val="auto"/>
        </w:rPr>
        <w:t>Subsequent measurement and gains and losses</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Financial assets at amortized cost</w:t>
      </w:r>
    </w:p>
    <w:p>
      <w:pPr>
        <w:spacing w:after="0" w:line="117" w:lineRule="exact"/>
        <w:rPr>
          <w:sz w:val="20"/>
          <w:szCs w:val="20"/>
          <w:color w:val="auto"/>
        </w:rPr>
      </w:pPr>
    </w:p>
    <w:p>
      <w:pPr>
        <w:jc w:val="both"/>
        <w:ind w:left="2320" w:right="20"/>
        <w:spacing w:after="0" w:line="263" w:lineRule="auto"/>
        <w:rPr>
          <w:sz w:val="20"/>
          <w:szCs w:val="20"/>
          <w:color w:val="auto"/>
        </w:rPr>
      </w:pPr>
      <w:r>
        <w:rPr>
          <w:rFonts w:ascii="Arial" w:cs="Arial" w:eastAsia="Arial" w:hAnsi="Arial"/>
          <w:sz w:val="18"/>
          <w:szCs w:val="18"/>
          <w:color w:val="auto"/>
        </w:rPr>
        <w:t>These assets are subsequently measured at amortized cost using the effective interest method. The amortized cost is reduced by impairment losses. Interest income, foreign exchange gains and losses and impairment are recognized in profit or loss. Any gain or loss on derecognition is recognized in profit or loss.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2300" w:hanging="537"/>
        <w:spacing w:after="0"/>
        <w:tabs>
          <w:tab w:leader="none" w:pos="2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Non-derivative financial liabilities</w:t>
      </w:r>
    </w:p>
    <w:p>
      <w:pPr>
        <w:spacing w:after="0" w:line="117"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color w:val="auto"/>
        </w:rPr>
        <w:t>Non-derivative financial liabilities include trade and other payables.</w:t>
      </w:r>
    </w:p>
    <w:p>
      <w:pPr>
        <w:spacing w:after="0" w:line="373"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Initialrecognition of financial liabilities</w:t>
      </w:r>
    </w:p>
    <w:p>
      <w:pPr>
        <w:spacing w:after="0" w:line="117" w:lineRule="exact"/>
        <w:rPr>
          <w:rFonts w:ascii="Arial" w:cs="Arial" w:eastAsia="Arial" w:hAnsi="Arial"/>
          <w:sz w:val="18"/>
          <w:szCs w:val="18"/>
          <w:color w:val="auto"/>
        </w:rPr>
      </w:pPr>
    </w:p>
    <w:p>
      <w:pPr>
        <w:ind w:left="2320" w:right="20"/>
        <w:spacing w:after="0" w:line="342" w:lineRule="auto"/>
        <w:rPr>
          <w:rFonts w:ascii="Arial" w:cs="Arial" w:eastAsia="Arial" w:hAnsi="Arial"/>
          <w:sz w:val="18"/>
          <w:szCs w:val="18"/>
          <w:color w:val="auto"/>
        </w:rPr>
      </w:pPr>
      <w:r>
        <w:rPr>
          <w:rFonts w:ascii="Arial" w:cs="Arial" w:eastAsia="Arial" w:hAnsi="Arial"/>
          <w:sz w:val="16"/>
          <w:szCs w:val="16"/>
          <w:color w:val="auto"/>
        </w:rPr>
        <w:t>The Group initially recognizes debt securities issued on the date that they originated. All other financial liabilities are recognized initially on the trade date at which the Group becomes a party to the contractual provisions of the instrument.</w:t>
      </w:r>
    </w:p>
    <w:p>
      <w:pPr>
        <w:spacing w:after="0" w:line="272"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Subsequentmeasurement of financial liabilities</w:t>
      </w:r>
    </w:p>
    <w:p>
      <w:pPr>
        <w:spacing w:after="0" w:line="117" w:lineRule="exact"/>
        <w:rPr>
          <w:rFonts w:ascii="Arial" w:cs="Arial" w:eastAsia="Arial" w:hAnsi="Arial"/>
          <w:sz w:val="18"/>
          <w:szCs w:val="18"/>
          <w:color w:val="auto"/>
        </w:rPr>
      </w:pPr>
    </w:p>
    <w:p>
      <w:pPr>
        <w:jc w:val="both"/>
        <w:ind w:left="2320"/>
        <w:spacing w:after="0" w:line="293" w:lineRule="auto"/>
        <w:rPr>
          <w:rFonts w:ascii="Arial" w:cs="Arial" w:eastAsia="Arial" w:hAnsi="Arial"/>
          <w:sz w:val="18"/>
          <w:szCs w:val="18"/>
          <w:color w:val="auto"/>
        </w:rPr>
      </w:pPr>
      <w:r>
        <w:rPr>
          <w:rFonts w:ascii="Arial" w:cs="Arial" w:eastAsia="Arial" w:hAnsi="Arial"/>
          <w:sz w:val="16"/>
          <w:szCs w:val="16"/>
          <w:color w:val="auto"/>
        </w:rPr>
        <w:t>Financial liabilities (other than financial liabilities at fair value through profit or loss) are recognized initially at fair value less any directly attributable transaction costs. Subsequent to initial recognition these financial liabilities are measured at amortized cost using the effective interest method. Financial liabilities are designated at fair value through profit or loss if the Group manages such liabilities and their performance is assessed based on their fair value in accordance with the Group’s documented risk management strategy, providing that the designation is intended to prevent an accounting mismatch, or the liability is a combined instrument including an embedded derivative.</w:t>
      </w:r>
    </w:p>
    <w:p>
      <w:pPr>
        <w:spacing w:after="0" w:line="56" w:lineRule="exact"/>
        <w:rPr>
          <w:rFonts w:ascii="Arial" w:cs="Arial" w:eastAsia="Arial" w:hAnsi="Arial"/>
          <w:sz w:val="18"/>
          <w:szCs w:val="18"/>
          <w:color w:val="auto"/>
        </w:rPr>
      </w:pPr>
    </w:p>
    <w:p>
      <w:pPr>
        <w:jc w:val="both"/>
        <w:ind w:left="2320" w:right="20"/>
        <w:spacing w:after="0" w:line="279" w:lineRule="auto"/>
        <w:rPr>
          <w:rFonts w:ascii="Arial" w:cs="Arial" w:eastAsia="Arial" w:hAnsi="Arial"/>
          <w:sz w:val="18"/>
          <w:szCs w:val="18"/>
          <w:color w:val="auto"/>
        </w:rPr>
      </w:pPr>
      <w:r>
        <w:rPr>
          <w:rFonts w:ascii="Arial" w:cs="Arial" w:eastAsia="Arial" w:hAnsi="Arial"/>
          <w:sz w:val="17"/>
          <w:szCs w:val="17"/>
          <w:color w:val="auto"/>
        </w:rPr>
        <w:t>Transaction costs directly attributable to an expected issuance of an instrument that will be classified as a financial liability are recognized as an asset in the framework of deferred expenses in the statement of financial position. These transaction costs are deducted from the financial liability upon its initial recognition, or are amortized as financing expenses in the statement of income when the issuance is no longer expected to occur.</w:t>
      </w:r>
    </w:p>
    <w:p>
      <w:pPr>
        <w:spacing w:after="0" w:line="319"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Derecognitionof financial liabilities</w:t>
      </w:r>
    </w:p>
    <w:p>
      <w:pPr>
        <w:spacing w:after="0" w:line="117"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Financial liabilities are derecognized when the obligation of the Group, as specified in the agreement, expires or when it is discharged or cancelled.</w:t>
      </w:r>
    </w:p>
    <w:p>
      <w:pPr>
        <w:spacing w:after="0" w:line="318"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Offsetof financial instruments</w:t>
      </w:r>
    </w:p>
    <w:p>
      <w:pPr>
        <w:spacing w:after="0" w:line="117" w:lineRule="exact"/>
        <w:rPr>
          <w:rFonts w:ascii="Arial" w:cs="Arial" w:eastAsia="Arial" w:hAnsi="Arial"/>
          <w:sz w:val="18"/>
          <w:szCs w:val="18"/>
          <w:color w:val="auto"/>
        </w:rPr>
      </w:pPr>
    </w:p>
    <w:p>
      <w:pPr>
        <w:jc w:val="both"/>
        <w:ind w:left="2320" w:right="20"/>
        <w:spacing w:after="0" w:line="263"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presented in the statement of financial position when, and only when, the Group currently has a legal right to offset the amounts and intends either to settle on a net basis or to realize the asset and settle the liability simultaneously.</w:t>
      </w:r>
    </w:p>
    <w:p>
      <w:pPr>
        <w:spacing w:after="0" w:line="332" w:lineRule="exact"/>
        <w:rPr>
          <w:rFonts w:ascii="Arial" w:cs="Arial" w:eastAsia="Arial" w:hAnsi="Arial"/>
          <w:sz w:val="18"/>
          <w:szCs w:val="18"/>
          <w:color w:val="auto"/>
        </w:rPr>
      </w:pPr>
    </w:p>
    <w:p>
      <w:pPr>
        <w:ind w:left="2300" w:hanging="537"/>
        <w:spacing w:after="0"/>
        <w:tabs>
          <w:tab w:leader="none" w:pos="2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Derivative financial instruments:</w:t>
      </w:r>
    </w:p>
    <w:p>
      <w:pPr>
        <w:spacing w:after="0" w:line="117"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Economic hedges</w:t>
      </w:r>
    </w:p>
    <w:p>
      <w:pPr>
        <w:spacing w:after="0" w:line="117" w:lineRule="exact"/>
        <w:rPr>
          <w:rFonts w:ascii="Arial" w:cs="Arial" w:eastAsia="Arial" w:hAnsi="Arial"/>
          <w:sz w:val="18"/>
          <w:szCs w:val="18"/>
          <w:color w:val="auto"/>
        </w:rPr>
      </w:pPr>
    </w:p>
    <w:p>
      <w:pPr>
        <w:jc w:val="both"/>
        <w:ind w:left="2320" w:right="20"/>
        <w:spacing w:after="0" w:line="263" w:lineRule="auto"/>
        <w:rPr>
          <w:rFonts w:ascii="Arial" w:cs="Arial" w:eastAsia="Arial" w:hAnsi="Arial"/>
          <w:sz w:val="18"/>
          <w:szCs w:val="18"/>
          <w:color w:val="auto"/>
        </w:rPr>
      </w:pPr>
      <w:r>
        <w:rPr>
          <w:rFonts w:ascii="Arial" w:cs="Arial" w:eastAsia="Arial" w:hAnsi="Arial"/>
          <w:sz w:val="18"/>
          <w:szCs w:val="18"/>
          <w:color w:val="auto"/>
        </w:rPr>
        <w:t>Hedge accounting is not applied to derivative instruments that economically hedge financial assets and liabilities denominated in foreign currencies. Changes in the fair value of such derivatives are recognized in profit or loss under financing income or expenses.</w:t>
      </w:r>
    </w:p>
    <w:p>
      <w:pPr>
        <w:spacing w:after="0" w:line="332" w:lineRule="exact"/>
        <w:rPr>
          <w:rFonts w:ascii="Arial" w:cs="Arial" w:eastAsia="Arial" w:hAnsi="Arial"/>
          <w:sz w:val="18"/>
          <w:szCs w:val="18"/>
          <w:color w:val="auto"/>
        </w:rPr>
      </w:pPr>
    </w:p>
    <w:p>
      <w:pPr>
        <w:ind w:left="2300" w:hanging="537"/>
        <w:spacing w:after="0"/>
        <w:tabs>
          <w:tab w:leader="none" w:pos="2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117"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Ordinary shares</w:t>
      </w:r>
    </w:p>
    <w:p>
      <w:pPr>
        <w:spacing w:after="0" w:line="117" w:lineRule="exact"/>
        <w:rPr>
          <w:rFonts w:ascii="Arial" w:cs="Arial" w:eastAsia="Arial" w:hAnsi="Arial"/>
          <w:sz w:val="18"/>
          <w:szCs w:val="18"/>
          <w:color w:val="auto"/>
        </w:rPr>
      </w:pPr>
    </w:p>
    <w:p>
      <w:pPr>
        <w:ind w:left="2320" w:right="20"/>
        <w:spacing w:after="0" w:line="308" w:lineRule="auto"/>
        <w:rPr>
          <w:rFonts w:ascii="Arial" w:cs="Arial" w:eastAsia="Arial" w:hAnsi="Arial"/>
          <w:sz w:val="18"/>
          <w:szCs w:val="18"/>
          <w:color w:val="auto"/>
        </w:rPr>
      </w:pPr>
      <w:r>
        <w:rPr>
          <w:rFonts w:ascii="Arial" w:cs="Arial" w:eastAsia="Arial" w:hAnsi="Arial"/>
          <w:sz w:val="17"/>
          <w:szCs w:val="17"/>
          <w:color w:val="auto"/>
        </w:rPr>
        <w:t>Ordinary shares are classified as shareholders’ equity. Incremental costs directly attributable to the issue of ordinary shares and share options are recognized as a deduction from shareholders’ equity, net of any tax effects.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jc w:val="both"/>
        <w:ind w:left="2320"/>
        <w:spacing w:after="0" w:line="279" w:lineRule="auto"/>
        <w:rPr>
          <w:sz w:val="20"/>
          <w:szCs w:val="20"/>
          <w:color w:val="auto"/>
        </w:rPr>
      </w:pPr>
      <w:r>
        <w:rPr>
          <w:rFonts w:ascii="Arial" w:cs="Arial" w:eastAsia="Arial" w:hAnsi="Arial"/>
          <w:sz w:val="17"/>
          <w:szCs w:val="17"/>
          <w:color w:val="auto"/>
        </w:rPr>
        <w:t>Incremental costs directly attributable to an expected issuance of an instrument that will be classified as an equity instrument are recognized as an asset in deferred expenses in the statement of financial position. The costs are deducted from shareholders’ equity upon the initial recognition of the equity instruments or are amortized as financing expenses in the statement of income when the issuance is no longer expected to take place.</w:t>
      </w:r>
    </w:p>
    <w:p>
      <w:pPr>
        <w:spacing w:after="0" w:line="279" w:lineRule="exact"/>
        <w:rPr>
          <w:sz w:val="20"/>
          <w:szCs w:val="20"/>
          <w:color w:val="auto"/>
        </w:rPr>
      </w:pPr>
    </w:p>
    <w:p>
      <w:pPr>
        <w:ind w:left="2320"/>
        <w:spacing w:after="0"/>
        <w:rPr>
          <w:sz w:val="20"/>
          <w:szCs w:val="20"/>
          <w:color w:val="auto"/>
        </w:rPr>
      </w:pPr>
      <w:r>
        <w:rPr>
          <w:rFonts w:ascii="Arial" w:cs="Arial" w:eastAsia="Arial" w:hAnsi="Arial"/>
          <w:sz w:val="18"/>
          <w:szCs w:val="18"/>
          <w:b w:val="1"/>
          <w:bCs w:val="1"/>
          <w:i w:val="1"/>
          <w:iCs w:val="1"/>
          <w:color w:val="auto"/>
        </w:rPr>
        <w:t>Treasury shares</w:t>
      </w:r>
    </w:p>
    <w:p>
      <w:pPr>
        <w:spacing w:after="0" w:line="117" w:lineRule="exact"/>
        <w:rPr>
          <w:sz w:val="20"/>
          <w:szCs w:val="20"/>
          <w:color w:val="auto"/>
        </w:rPr>
      </w:pPr>
    </w:p>
    <w:p>
      <w:pPr>
        <w:jc w:val="both"/>
        <w:ind w:left="2320" w:right="20"/>
        <w:spacing w:after="0" w:line="275" w:lineRule="auto"/>
        <w:rPr>
          <w:sz w:val="20"/>
          <w:szCs w:val="20"/>
          <w:color w:val="auto"/>
        </w:rPr>
      </w:pPr>
      <w:r>
        <w:rPr>
          <w:rFonts w:ascii="Arial" w:cs="Arial" w:eastAsia="Arial" w:hAnsi="Arial"/>
          <w:sz w:val="17"/>
          <w:szCs w:val="17"/>
          <w:color w:val="auto"/>
        </w:rPr>
        <w:t>When share capital recognized as equity is repurchased by the Group, the amount of the consideration paid, which includes directly attributable costs, net of any tax effects, is recognized as a deduction from shareholders’ equity. Repurchased shares are classified as a deduction in Share Premium. When treasury shares are sold or reissued subsequently, the amount received is recognized as an increase in shareholders’ equity, and the resulting surplus on the transaction is carried to share premium, whereas a deficit on the transaction is deducted from retained earnings.</w:t>
      </w:r>
    </w:p>
    <w:p>
      <w:pPr>
        <w:spacing w:after="0" w:line="321" w:lineRule="exact"/>
        <w:rPr>
          <w:sz w:val="20"/>
          <w:szCs w:val="20"/>
          <w:color w:val="auto"/>
        </w:rPr>
      </w:pPr>
    </w:p>
    <w:p>
      <w:pPr>
        <w:ind w:left="1740" w:hanging="423"/>
        <w:spacing w:after="0"/>
        <w:tabs>
          <w:tab w:leader="none" w:pos="17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1" w:lineRule="exact"/>
        <w:rPr>
          <w:rFonts w:ascii="Arial" w:cs="Arial" w:eastAsia="Arial" w:hAnsi="Arial"/>
          <w:sz w:val="18"/>
          <w:szCs w:val="18"/>
          <w:b w:val="1"/>
          <w:bCs w:val="1"/>
          <w:color w:val="auto"/>
        </w:rPr>
      </w:pPr>
    </w:p>
    <w:p>
      <w:pPr>
        <w:jc w:val="both"/>
        <w:ind w:left="17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Fixed assets are measured at cost less accumulated depreciation. The cost of fixed assets includes expenditure that is directly attributable to the acquisition of the asset. Depreciation is provided on all property and equipment at rates calculated to write each asset down to its residual value (assumed to be nil), using the straight line method, over its expected useful life as follows:</w:t>
      </w:r>
    </w:p>
    <w:p>
      <w:pPr>
        <w:spacing w:after="0" w:line="171"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4960" w:type="dxa"/>
            <w:vAlign w:val="bottom"/>
            <w:vMerge w:val="restart"/>
          </w:tcPr>
          <w:p>
            <w:pPr>
              <w:spacing w:after="0"/>
              <w:rPr>
                <w:sz w:val="20"/>
                <w:szCs w:val="20"/>
                <w:color w:val="auto"/>
              </w:rPr>
            </w:pPr>
            <w:r>
              <w:rPr>
                <w:rFonts w:ascii="Arial" w:cs="Arial" w:eastAsia="Arial" w:hAnsi="Arial"/>
                <w:sz w:val="18"/>
                <w:szCs w:val="18"/>
                <w:color w:val="auto"/>
              </w:rPr>
              <w:t>Computers and servers</w:t>
            </w:r>
          </w:p>
        </w:tc>
        <w:tc>
          <w:tcPr>
            <w:tcW w:w="3400" w:type="dxa"/>
            <w:vAlign w:val="bottom"/>
            <w:gridSpan w:val="2"/>
          </w:tcPr>
          <w:p>
            <w:pPr>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95"/>
        </w:trPr>
        <w:tc>
          <w:tcPr>
            <w:tcW w:w="4960" w:type="dxa"/>
            <w:vAlign w:val="bottom"/>
            <w:vMerge w:val="continue"/>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w:t>
            </w: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400" w:type="dxa"/>
            <w:vAlign w:val="bottom"/>
            <w:gridSpan w:val="2"/>
          </w:tcPr>
          <w:p>
            <w:pPr>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00" w:type="dxa"/>
            <w:vAlign w:val="bottom"/>
            <w:gridSpan w:val="2"/>
          </w:tcPr>
          <w:p>
            <w:pPr>
              <w:spacing w:after="0"/>
              <w:rPr>
                <w:sz w:val="20"/>
                <w:szCs w:val="20"/>
                <w:color w:val="auto"/>
              </w:rPr>
            </w:pPr>
            <w:r>
              <w:rPr>
                <w:rFonts w:ascii="Arial" w:cs="Arial" w:eastAsia="Arial" w:hAnsi="Arial"/>
                <w:sz w:val="18"/>
                <w:szCs w:val="18"/>
                <w:color w:val="auto"/>
                <w:w w:val="89"/>
              </w:rPr>
              <w:t>The shorter of the lease term and the useful life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60" w:right="20"/>
        <w:spacing w:after="0" w:line="277" w:lineRule="auto"/>
        <w:rPr>
          <w:sz w:val="20"/>
          <w:szCs w:val="20"/>
          <w:color w:val="auto"/>
        </w:rPr>
      </w:pPr>
      <w:r>
        <w:rPr>
          <w:rFonts w:ascii="Arial" w:cs="Arial" w:eastAsia="Arial" w:hAnsi="Arial"/>
          <w:sz w:val="18"/>
          <w:szCs w:val="18"/>
          <w:color w:val="auto"/>
        </w:rPr>
        <w:t>An asset is depreciated from the date it is ready for use, meaning the date it reaches the location and condition required for it to operate in the manner intended by management.</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Depreciation methods, useful lives and residual values are reviewed at the end of each reporting year and adjusted if appropriate.</w:t>
      </w:r>
    </w:p>
    <w:p>
      <w:pPr>
        <w:spacing w:after="0" w:line="393" w:lineRule="exact"/>
        <w:rPr>
          <w:sz w:val="20"/>
          <w:szCs w:val="20"/>
          <w:color w:val="auto"/>
        </w:rPr>
      </w:pPr>
    </w:p>
    <w:p>
      <w:pPr>
        <w:ind w:left="1740" w:hanging="423"/>
        <w:spacing w:after="0"/>
        <w:tabs>
          <w:tab w:leader="none" w:pos="17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34"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Software development:</w:t>
      </w:r>
    </w:p>
    <w:p>
      <w:pPr>
        <w:spacing w:after="0" w:line="117" w:lineRule="exact"/>
        <w:rPr>
          <w:rFonts w:ascii="Arial" w:cs="Arial" w:eastAsia="Arial" w:hAnsi="Arial"/>
          <w:sz w:val="18"/>
          <w:szCs w:val="18"/>
          <w:color w:val="auto"/>
        </w:rPr>
      </w:pPr>
    </w:p>
    <w:p>
      <w:pPr>
        <w:ind w:left="2320"/>
        <w:spacing w:after="0" w:line="277" w:lineRule="auto"/>
        <w:rPr>
          <w:rFonts w:ascii="Arial" w:cs="Arial" w:eastAsia="Arial" w:hAnsi="Arial"/>
          <w:sz w:val="18"/>
          <w:szCs w:val="18"/>
          <w:color w:val="auto"/>
        </w:rPr>
      </w:pPr>
      <w:r>
        <w:rPr>
          <w:rFonts w:ascii="Arial" w:cs="Arial" w:eastAsia="Arial" w:hAnsi="Arial"/>
          <w:sz w:val="18"/>
          <w:szCs w:val="18"/>
          <w:color w:val="auto"/>
        </w:rPr>
        <w:t>Expenditure on research activities, undertaken with the prospect of gaining new scientific or technical knowledge and understanding, is recognized in profit or loss when incurred.</w:t>
      </w:r>
    </w:p>
    <w:p>
      <w:pPr>
        <w:spacing w:after="0" w:line="62" w:lineRule="exact"/>
        <w:rPr>
          <w:rFonts w:ascii="Arial" w:cs="Arial" w:eastAsia="Arial" w:hAnsi="Arial"/>
          <w:sz w:val="18"/>
          <w:szCs w:val="18"/>
          <w:color w:val="auto"/>
        </w:rPr>
      </w:pPr>
    </w:p>
    <w:p>
      <w:pPr>
        <w:jc w:val="both"/>
        <w:ind w:left="2320" w:right="20"/>
        <w:spacing w:after="0" w:line="259" w:lineRule="auto"/>
        <w:rPr>
          <w:rFonts w:ascii="Arial" w:cs="Arial" w:eastAsia="Arial" w:hAnsi="Arial"/>
          <w:sz w:val="18"/>
          <w:szCs w:val="18"/>
          <w:color w:val="auto"/>
        </w:rPr>
      </w:pPr>
      <w:r>
        <w:rPr>
          <w:rFonts w:ascii="Arial" w:cs="Arial" w:eastAsia="Arial" w:hAnsi="Arial"/>
          <w:sz w:val="18"/>
          <w:szCs w:val="18"/>
          <w:color w:val="auto"/>
        </w:rPr>
        <w:t>Development activities involve a plan or design for the production of new or substantially improved products and processes. Development expenditure is capitalized only if development costs can be measured reliably, the product or process is technically and commercially feasible, future economic benefits are probable, and the Group has the intention and sufficient resources to complete development and to use or sell the asset.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jc w:val="both"/>
        <w:ind w:left="2320" w:right="20"/>
        <w:spacing w:after="0" w:line="263" w:lineRule="auto"/>
        <w:rPr>
          <w:sz w:val="20"/>
          <w:szCs w:val="20"/>
          <w:color w:val="auto"/>
        </w:rPr>
      </w:pPr>
      <w:r>
        <w:rPr>
          <w:rFonts w:ascii="Arial" w:cs="Arial" w:eastAsia="Arial" w:hAnsi="Arial"/>
          <w:sz w:val="18"/>
          <w:szCs w:val="18"/>
          <w:color w:val="auto"/>
        </w:rPr>
        <w:t>expenditure capitalized in respect of development activities includes the cost of materials, direct labor and overhead costs that are directly attributable to preparing the asset for its intended use, and capitalized borrowing costs. Other development expenditure is recognized in profit or loss as incurred.</w:t>
      </w:r>
    </w:p>
    <w:p>
      <w:pPr>
        <w:spacing w:after="0" w:line="76" w:lineRule="exact"/>
        <w:rPr>
          <w:sz w:val="20"/>
          <w:szCs w:val="20"/>
          <w:color w:val="auto"/>
        </w:rPr>
      </w:pPr>
    </w:p>
    <w:p>
      <w:pPr>
        <w:jc w:val="both"/>
        <w:ind w:left="2320"/>
        <w:spacing w:after="0" w:line="277" w:lineRule="auto"/>
        <w:rPr>
          <w:sz w:val="20"/>
          <w:szCs w:val="20"/>
          <w:color w:val="auto"/>
        </w:rPr>
      </w:pPr>
      <w:r>
        <w:rPr>
          <w:rFonts w:ascii="Arial" w:cs="Arial" w:eastAsia="Arial" w:hAnsi="Arial"/>
          <w:sz w:val="18"/>
          <w:szCs w:val="18"/>
          <w:color w:val="auto"/>
        </w:rPr>
        <w:t>In subsequent periods, capitalized development expenditure is measured at cost less accumulated amortization and accumulated impairment losses.</w:t>
      </w:r>
    </w:p>
    <w:p>
      <w:pPr>
        <w:spacing w:after="0" w:line="62" w:lineRule="exact"/>
        <w:rPr>
          <w:sz w:val="20"/>
          <w:szCs w:val="20"/>
          <w:color w:val="auto"/>
        </w:rPr>
      </w:pPr>
    </w:p>
    <w:p>
      <w:pPr>
        <w:jc w:val="both"/>
        <w:ind w:left="2320"/>
        <w:spacing w:after="0" w:line="277" w:lineRule="auto"/>
        <w:rPr>
          <w:sz w:val="20"/>
          <w:szCs w:val="20"/>
          <w:color w:val="auto"/>
        </w:rPr>
      </w:pPr>
      <w:r>
        <w:rPr>
          <w:rFonts w:ascii="Arial" w:cs="Arial" w:eastAsia="Arial" w:hAnsi="Arial"/>
          <w:sz w:val="18"/>
          <w:szCs w:val="18"/>
          <w:color w:val="auto"/>
        </w:rPr>
        <w:t>Where these criteria are not met development costs are charged to the statement of operation and other comprehensive income as incurred.</w:t>
      </w:r>
    </w:p>
    <w:p>
      <w:pPr>
        <w:spacing w:after="0" w:line="6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estimated useful lives of developed software are three years.</w:t>
      </w:r>
    </w:p>
    <w:p>
      <w:pPr>
        <w:spacing w:after="0" w:line="117" w:lineRule="exact"/>
        <w:rPr>
          <w:sz w:val="20"/>
          <w:szCs w:val="20"/>
          <w:color w:val="auto"/>
        </w:rPr>
      </w:pPr>
    </w:p>
    <w:p>
      <w:pPr>
        <w:jc w:val="both"/>
        <w:ind w:left="2320" w:right="20"/>
        <w:spacing w:after="0" w:line="277" w:lineRule="auto"/>
        <w:rPr>
          <w:sz w:val="20"/>
          <w:szCs w:val="20"/>
          <w:color w:val="auto"/>
        </w:rPr>
      </w:pPr>
      <w:r>
        <w:rPr>
          <w:rFonts w:ascii="Arial" w:cs="Arial" w:eastAsia="Arial" w:hAnsi="Arial"/>
          <w:sz w:val="18"/>
          <w:szCs w:val="18"/>
          <w:color w:val="auto"/>
        </w:rPr>
        <w:t>Amortization methods, useful lives and residual values are reviewed at the end of each reporting year and adjusted if appropriate.</w:t>
      </w:r>
    </w:p>
    <w:p>
      <w:pPr>
        <w:spacing w:after="0" w:line="319" w:lineRule="exact"/>
        <w:rPr>
          <w:sz w:val="20"/>
          <w:szCs w:val="20"/>
          <w:color w:val="auto"/>
        </w:rPr>
      </w:pPr>
    </w:p>
    <w:p>
      <w:pPr>
        <w:ind w:left="2300" w:hanging="537"/>
        <w:spacing w:after="0"/>
        <w:tabs>
          <w:tab w:leader="none" w:pos="2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Acquired software:</w:t>
      </w:r>
    </w:p>
    <w:p>
      <w:pPr>
        <w:spacing w:after="0" w:line="117" w:lineRule="exact"/>
        <w:rPr>
          <w:rFonts w:ascii="Arial" w:cs="Arial" w:eastAsia="Arial" w:hAnsi="Arial"/>
          <w:sz w:val="18"/>
          <w:szCs w:val="18"/>
          <w:color w:val="auto"/>
        </w:rPr>
      </w:pPr>
    </w:p>
    <w:p>
      <w:pPr>
        <w:jc w:val="both"/>
        <w:ind w:left="2320" w:right="20"/>
        <w:spacing w:after="0" w:line="286" w:lineRule="auto"/>
        <w:rPr>
          <w:rFonts w:ascii="Arial" w:cs="Arial" w:eastAsia="Arial" w:hAnsi="Arial"/>
          <w:sz w:val="18"/>
          <w:szCs w:val="18"/>
          <w:color w:val="auto"/>
        </w:rPr>
      </w:pPr>
      <w:r>
        <w:rPr>
          <w:rFonts w:ascii="Arial" w:cs="Arial" w:eastAsia="Arial" w:hAnsi="Arial"/>
          <w:sz w:val="17"/>
          <w:szCs w:val="17"/>
          <w:color w:val="auto"/>
        </w:rPr>
        <w:t>Acquired software licenses are capitalized on the basis of the costs incurred to acquire and bring to use the specific software licenses. These costs are amortized over their estimated useful lives (3 years) using the straight line method. Costs associated with maintaining software programs are recognized as an expense as incurred.</w:t>
      </w:r>
    </w:p>
    <w:p>
      <w:pPr>
        <w:spacing w:after="0" w:line="313" w:lineRule="exact"/>
        <w:rPr>
          <w:rFonts w:ascii="Arial" w:cs="Arial" w:eastAsia="Arial" w:hAnsi="Arial"/>
          <w:sz w:val="18"/>
          <w:szCs w:val="18"/>
          <w:color w:val="auto"/>
        </w:rPr>
      </w:pPr>
    </w:p>
    <w:p>
      <w:pPr>
        <w:ind w:left="2300" w:hanging="537"/>
        <w:spacing w:after="0"/>
        <w:tabs>
          <w:tab w:leader="none" w:pos="2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Goodwill:</w:t>
      </w:r>
    </w:p>
    <w:p>
      <w:pPr>
        <w:spacing w:after="0" w:line="117"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Goodwill that arises upon the acquisition of subsidiaries is presented as part of intangible assets. For information on measurement of goodwill at initial recognition, see Note 3a(1).</w:t>
      </w:r>
    </w:p>
    <w:p>
      <w:pPr>
        <w:spacing w:after="0" w:line="62" w:lineRule="exact"/>
        <w:rPr>
          <w:rFonts w:ascii="Arial" w:cs="Arial" w:eastAsia="Arial" w:hAnsi="Arial"/>
          <w:sz w:val="18"/>
          <w:szCs w:val="18"/>
          <w:color w:val="auto"/>
        </w:rPr>
      </w:pPr>
    </w:p>
    <w:p>
      <w:pPr>
        <w:jc w:val="both"/>
        <w:ind w:left="2320" w:right="20"/>
        <w:spacing w:after="0" w:line="263" w:lineRule="auto"/>
        <w:rPr>
          <w:rFonts w:ascii="Arial" w:cs="Arial" w:eastAsia="Arial" w:hAnsi="Arial"/>
          <w:sz w:val="18"/>
          <w:szCs w:val="18"/>
          <w:color w:val="auto"/>
        </w:rPr>
      </w:pPr>
      <w:r>
        <w:rPr>
          <w:rFonts w:ascii="Arial" w:cs="Arial" w:eastAsia="Arial" w:hAnsi="Arial"/>
          <w:sz w:val="18"/>
          <w:szCs w:val="18"/>
          <w:color w:val="auto"/>
        </w:rPr>
        <w:t>In subsequent periods goodwill is measured at cost less accumulated impairment losses. The Group has identified its entire operation as a single cash generating unit (CGU). According to management assessment, no impairment in respect to goodwill has been recorded.</w:t>
      </w:r>
    </w:p>
    <w:p>
      <w:pPr>
        <w:spacing w:after="0" w:line="332" w:lineRule="exact"/>
        <w:rPr>
          <w:rFonts w:ascii="Arial" w:cs="Arial" w:eastAsia="Arial" w:hAnsi="Arial"/>
          <w:sz w:val="18"/>
          <w:szCs w:val="18"/>
          <w:color w:val="auto"/>
        </w:rPr>
      </w:pPr>
    </w:p>
    <w:p>
      <w:pPr>
        <w:ind w:left="2300" w:hanging="537"/>
        <w:spacing w:after="0"/>
        <w:tabs>
          <w:tab w:leader="none" w:pos="2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Other intangible assets:</w:t>
      </w:r>
    </w:p>
    <w:p>
      <w:pPr>
        <w:spacing w:after="0" w:line="117"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Other intangible assets that are acquired by the Group, which have finite useful lives, are measured at cost less accumulated amortization and accumulated impairment losses.</w:t>
      </w:r>
    </w:p>
    <w:p>
      <w:pPr>
        <w:spacing w:after="0" w:line="318" w:lineRule="exact"/>
        <w:rPr>
          <w:rFonts w:ascii="Arial" w:cs="Arial" w:eastAsia="Arial" w:hAnsi="Arial"/>
          <w:sz w:val="18"/>
          <w:szCs w:val="18"/>
          <w:color w:val="auto"/>
        </w:rPr>
      </w:pPr>
    </w:p>
    <w:p>
      <w:pPr>
        <w:ind w:left="2300" w:hanging="537"/>
        <w:spacing w:after="0"/>
        <w:tabs>
          <w:tab w:leader="none" w:pos="2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Amortization:</w:t>
      </w:r>
    </w:p>
    <w:p>
      <w:pPr>
        <w:spacing w:after="0" w:line="117"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Amortization is a systematic allocation of the amortizable amount of an intangible asset over its useful life. The amortizable amount is the cost of the asset less its accumulated residual value.</w:t>
      </w:r>
    </w:p>
    <w:p>
      <w:pPr>
        <w:spacing w:after="0" w:line="62" w:lineRule="exact"/>
        <w:rPr>
          <w:rFonts w:ascii="Arial" w:cs="Arial" w:eastAsia="Arial" w:hAnsi="Arial"/>
          <w:sz w:val="18"/>
          <w:szCs w:val="18"/>
          <w:color w:val="auto"/>
        </w:rPr>
      </w:pPr>
    </w:p>
    <w:p>
      <w:pPr>
        <w:jc w:val="both"/>
        <w:ind w:left="2320"/>
        <w:spacing w:after="0" w:line="263" w:lineRule="auto"/>
        <w:rPr>
          <w:rFonts w:ascii="Arial" w:cs="Arial" w:eastAsia="Arial" w:hAnsi="Arial"/>
          <w:sz w:val="18"/>
          <w:szCs w:val="18"/>
          <w:color w:val="auto"/>
        </w:rPr>
      </w:pPr>
      <w:r>
        <w:rPr>
          <w:rFonts w:ascii="Arial" w:cs="Arial" w:eastAsia="Arial" w:hAnsi="Arial"/>
          <w:sz w:val="18"/>
          <w:szCs w:val="18"/>
          <w:color w:val="auto"/>
        </w:rPr>
        <w:t>Internally generated intangible assets, such as software development costs, are not systematically amortized as long as they are not available for use, i.e. they are not yet on site or in working condition for their intended use. Goodwill is not systematically amortized as well, but is tested for impairment at least once a year.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jc w:val="both"/>
        <w:ind w:left="2320" w:right="20"/>
        <w:spacing w:after="0" w:line="263" w:lineRule="auto"/>
        <w:rPr>
          <w:sz w:val="20"/>
          <w:szCs w:val="20"/>
          <w:color w:val="auto"/>
        </w:rPr>
      </w:pPr>
      <w:r>
        <w:rPr>
          <w:rFonts w:ascii="Arial" w:cs="Arial" w:eastAsia="Arial" w:hAnsi="Arial"/>
          <w:sz w:val="18"/>
          <w:szCs w:val="18"/>
          <w:color w:val="auto"/>
        </w:rPr>
        <w:t>The Group examines the amortization methods, useful life and accumulated residual values of its intangible assets at least once a year (usually at the end of each reporting period) in order to determine whether events and circumstances continue to support the decision that the intangible asset has an indefinite useful life.</w:t>
      </w:r>
    </w:p>
    <w:p>
      <w:pPr>
        <w:spacing w:after="0" w:line="76" w:lineRule="exact"/>
        <w:rPr>
          <w:sz w:val="20"/>
          <w:szCs w:val="20"/>
          <w:color w:val="auto"/>
        </w:rPr>
      </w:pPr>
    </w:p>
    <w:p>
      <w:pPr>
        <w:jc w:val="both"/>
        <w:ind w:left="2320" w:right="20"/>
        <w:spacing w:after="0" w:line="279" w:lineRule="auto"/>
        <w:rPr>
          <w:sz w:val="20"/>
          <w:szCs w:val="20"/>
          <w:color w:val="auto"/>
        </w:rPr>
      </w:pPr>
      <w:r>
        <w:rPr>
          <w:rFonts w:ascii="Arial" w:cs="Arial" w:eastAsia="Arial" w:hAnsi="Arial"/>
          <w:sz w:val="17"/>
          <w:szCs w:val="17"/>
          <w:color w:val="auto"/>
        </w:rPr>
        <w:t>Amortization is recognized in the statements of other comprehensive income on a straight-line basis over the estimated useful lives of the intangible assets from the date they are available for use, since this method most closely reflects the expected pattern of consumption of the future economic benefits embodied in each asset, such as development costs, are tested for impairment at least once a year until such date as they are available for use.</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estimated useful lives for the current and comparative periods are as follows:</w:t>
      </w:r>
    </w:p>
    <w:p>
      <w:pPr>
        <w:sectPr>
          <w:pgSz w:w="11900" w:h="16838" w:orient="portrait"/>
          <w:cols w:equalWidth="0" w:num="1">
            <w:col w:w="11140"/>
          </w:cols>
          <w:pgMar w:left="320" w:top="459" w:right="439" w:bottom="1440" w:gutter="0" w:footer="0" w:header="0"/>
        </w:sectPr>
      </w:pPr>
    </w:p>
    <w:p>
      <w:pPr>
        <w:spacing w:after="0" w:line="25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Trademarks</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Software (developed and acquired)</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Customer relationships</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Others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1.75-5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3-5.75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 years</w:t>
      </w:r>
    </w:p>
    <w:p>
      <w:pPr>
        <w:spacing w:after="0" w:line="200" w:lineRule="exact"/>
        <w:rPr>
          <w:sz w:val="20"/>
          <w:szCs w:val="20"/>
          <w:color w:val="auto"/>
        </w:rPr>
      </w:pPr>
    </w:p>
    <w:p>
      <w:pPr>
        <w:sectPr>
          <w:pgSz w:w="11900" w:h="16838" w:orient="portrait"/>
          <w:cols w:equalWidth="0" w:num="2">
            <w:col w:w="6280" w:space="720"/>
            <w:col w:w="4140"/>
          </w:cols>
          <w:pgMar w:left="320" w:top="459" w:right="439" w:bottom="1440" w:gutter="0" w:footer="0" w:header="0"/>
          <w:type w:val="continuous"/>
        </w:sectPr>
      </w:pPr>
    </w:p>
    <w:p>
      <w:pPr>
        <w:spacing w:after="0" w:line="11" w:lineRule="exact"/>
        <w:rPr>
          <w:sz w:val="20"/>
          <w:szCs w:val="20"/>
          <w:color w:val="auto"/>
        </w:rPr>
      </w:pPr>
    </w:p>
    <w:p>
      <w:pPr>
        <w:ind w:left="2320" w:right="20"/>
        <w:spacing w:after="0" w:line="277" w:lineRule="auto"/>
        <w:rPr>
          <w:sz w:val="20"/>
          <w:szCs w:val="20"/>
          <w:color w:val="auto"/>
        </w:rPr>
      </w:pPr>
      <w:r>
        <w:rPr>
          <w:rFonts w:ascii="Arial" w:cs="Arial" w:eastAsia="Arial" w:hAnsi="Arial"/>
          <w:sz w:val="18"/>
          <w:szCs w:val="18"/>
          <w:color w:val="auto"/>
        </w:rPr>
        <w:t>Amortization methods, useful lives and residual values are reviewed at the end of each reporting year and adjusted if appropriate.</w:t>
      </w:r>
    </w:p>
    <w:p>
      <w:pPr>
        <w:spacing w:after="0" w:line="62" w:lineRule="exact"/>
        <w:rPr>
          <w:sz w:val="20"/>
          <w:szCs w:val="20"/>
          <w:color w:val="auto"/>
        </w:rPr>
      </w:pPr>
    </w:p>
    <w:p>
      <w:pPr>
        <w:ind w:left="2320" w:right="20"/>
        <w:spacing w:after="0" w:line="277" w:lineRule="auto"/>
        <w:rPr>
          <w:sz w:val="20"/>
          <w:szCs w:val="20"/>
          <w:color w:val="auto"/>
        </w:rPr>
      </w:pPr>
      <w:r>
        <w:rPr>
          <w:rFonts w:ascii="Arial" w:cs="Arial" w:eastAsia="Arial" w:hAnsi="Arial"/>
          <w:sz w:val="18"/>
          <w:szCs w:val="18"/>
          <w:color w:val="auto"/>
        </w:rPr>
        <w:t>In the reporting period the Company changed the expected useful life of intangible asset items. For further information see Note 7 regarding the basis of preparation of the financial statements.</w:t>
      </w:r>
    </w:p>
    <w:p>
      <w:pPr>
        <w:spacing w:after="0" w:line="315" w:lineRule="exact"/>
        <w:rPr>
          <w:sz w:val="20"/>
          <w:szCs w:val="20"/>
          <w:color w:val="auto"/>
        </w:rPr>
      </w:pPr>
    </w:p>
    <w:p>
      <w:pPr>
        <w:ind w:left="1740" w:hanging="423"/>
        <w:spacing w:after="0"/>
        <w:tabs>
          <w:tab w:leader="none" w:pos="17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w:t>
      </w:r>
    </w:p>
    <w:p>
      <w:pPr>
        <w:spacing w:after="0" w:line="117"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Non-derivative financial assets</w:t>
      </w:r>
    </w:p>
    <w:p>
      <w:pPr>
        <w:spacing w:after="0" w:line="121"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assets, contract assets and lease receivables</w:t>
      </w:r>
    </w:p>
    <w:p>
      <w:pPr>
        <w:spacing w:after="0" w:line="117"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The Group recognizes a provision for expected credit losses in respect of:</w:t>
      </w:r>
    </w:p>
    <w:p>
      <w:pPr>
        <w:spacing w:after="0" w:line="130"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Financial assets at amortized cost;</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Lease receivables.</w:t>
      </w:r>
    </w:p>
    <w:p>
      <w:pPr>
        <w:spacing w:after="0" w:line="117"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The Group has elected to measure the provision for expected credit losses in respect of financial assets and lease receivables at an amount equal to the full lifetime credit losses of the instrument.</w:t>
      </w:r>
    </w:p>
    <w:p>
      <w:pPr>
        <w:spacing w:after="0" w:line="62" w:lineRule="exact"/>
        <w:rPr>
          <w:sz w:val="20"/>
          <w:szCs w:val="20"/>
          <w:color w:val="auto"/>
        </w:rPr>
      </w:pPr>
    </w:p>
    <w:p>
      <w:pPr>
        <w:jc w:val="both"/>
        <w:ind w:left="1760"/>
        <w:spacing w:after="0" w:line="259" w:lineRule="auto"/>
        <w:rPr>
          <w:sz w:val="20"/>
          <w:szCs w:val="20"/>
          <w:color w:val="auto"/>
        </w:rPr>
      </w:pPr>
      <w:r>
        <w:rPr>
          <w:rFonts w:ascii="Arial" w:cs="Arial" w:eastAsia="Arial" w:hAnsi="Arial"/>
          <w:sz w:val="18"/>
          <w:szCs w:val="18"/>
          <w:color w:val="auto"/>
        </w:rPr>
        <w:t>When determining whether the credit risk of a financial asset has increased significantly since initial recognition, and when estimating expected credit losses, the Group considers reasonable and supportable information that is relevant and available. Such information includes quantitative and qualitative information, and an analysis, based on the Group’s past experience and informed credit assessment, and it includes forward looking information.</w:t>
      </w:r>
    </w:p>
    <w:p>
      <w:pPr>
        <w:spacing w:after="0" w:line="291"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Measurement of expected credit losses</w:t>
      </w:r>
    </w:p>
    <w:p>
      <w:pPr>
        <w:spacing w:after="0" w:line="121" w:lineRule="exact"/>
        <w:rPr>
          <w:sz w:val="20"/>
          <w:szCs w:val="20"/>
          <w:color w:val="auto"/>
        </w:rPr>
      </w:pPr>
    </w:p>
    <w:p>
      <w:pPr>
        <w:jc w:val="both"/>
        <w:ind w:left="1760" w:right="20"/>
        <w:spacing w:after="0" w:line="263" w:lineRule="auto"/>
        <w:rPr>
          <w:sz w:val="20"/>
          <w:szCs w:val="20"/>
          <w:color w:val="auto"/>
        </w:rPr>
      </w:pPr>
      <w:r>
        <w:rPr>
          <w:rFonts w:ascii="Arial" w:cs="Arial" w:eastAsia="Arial" w:hAnsi="Arial"/>
          <w:sz w:val="18"/>
          <w:szCs w:val="18"/>
          <w:color w:val="auto"/>
        </w:rPr>
        <w:t>Expected credit losses are a probability-weighted estimate of credit losses. Credit losses are measured as the present value of the difference between the cash flows due to the Group in accordance with the contract and the cash flows that the Group expects to receive.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jc w:val="both"/>
        <w:ind w:left="1760"/>
        <w:spacing w:after="0" w:line="263" w:lineRule="auto"/>
        <w:rPr>
          <w:sz w:val="20"/>
          <w:szCs w:val="20"/>
          <w:color w:val="auto"/>
        </w:rPr>
      </w:pPr>
      <w:r>
        <w:rPr>
          <w:rFonts w:ascii="Arial" w:cs="Arial" w:eastAsia="Arial" w:hAnsi="Arial"/>
          <w:sz w:val="18"/>
          <w:szCs w:val="18"/>
          <w:color w:val="auto"/>
        </w:rPr>
        <w:t>With respect to other debt assets, the Group measures the provision for expected credit losses at an amount equal to the full lifetime expected credit losses, other than the provisions hereunder that are measured at an amount equal to the 12-month expected credit losses:</w:t>
      </w:r>
    </w:p>
    <w:p>
      <w:pPr>
        <w:spacing w:after="0" w:line="89" w:lineRule="exact"/>
        <w:rPr>
          <w:sz w:val="20"/>
          <w:szCs w:val="20"/>
          <w:color w:val="auto"/>
        </w:rPr>
      </w:pPr>
    </w:p>
    <w:p>
      <w:pPr>
        <w:ind w:left="2300" w:hanging="537"/>
        <w:spacing w:after="0"/>
        <w:tabs>
          <w:tab w:leader="none" w:pos="2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Debt instruments that are determined to have low credit risk at the reporting date; and</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Other debt instruments and deposits, for which credit risk has not increased significantly since initial recognition.</w:t>
      </w:r>
    </w:p>
    <w:p>
      <w:pPr>
        <w:spacing w:after="0" w:line="341"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Presentation of provision for expected credit losses in the statement of financial position</w:t>
      </w:r>
    </w:p>
    <w:p>
      <w:pPr>
        <w:spacing w:after="0" w:line="121"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Provisions for expected credit losses of financial assets measured at amortized cost and are deducted from the gross carrying amount of the financial assets.</w:t>
      </w:r>
    </w:p>
    <w:p>
      <w:pPr>
        <w:spacing w:after="0" w:line="274"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Write-off</w:t>
      </w:r>
    </w:p>
    <w:p>
      <w:pPr>
        <w:spacing w:after="0" w:line="121" w:lineRule="exact"/>
        <w:rPr>
          <w:sz w:val="20"/>
          <w:szCs w:val="20"/>
          <w:color w:val="auto"/>
        </w:rPr>
      </w:pPr>
    </w:p>
    <w:p>
      <w:pPr>
        <w:jc w:val="both"/>
        <w:ind w:left="1760" w:right="20"/>
        <w:spacing w:after="0" w:line="275" w:lineRule="auto"/>
        <w:rPr>
          <w:sz w:val="20"/>
          <w:szCs w:val="20"/>
          <w:color w:val="auto"/>
        </w:rPr>
      </w:pPr>
      <w:r>
        <w:rPr>
          <w:rFonts w:ascii="Arial" w:cs="Arial" w:eastAsia="Arial" w:hAnsi="Arial"/>
          <w:sz w:val="17"/>
          <w:szCs w:val="17"/>
          <w:color w:val="auto"/>
        </w:rPr>
        <w:t>The gross carrying amount of a financial asset is written off when the Group does not have reasonable expectations of recovering a financial asset at its entirety or a portion thereof. This is usually the case when the Group determines that the debtor does not have assets or sources of income that may generate sufficient cash flows for paying the amounts being written off. However, financial assets that are written off could still be subject to enforcement activities in order to comply with the Group’s procedures for recovery of amounts due. Write-off constitutes a de-recognition event.</w:t>
      </w:r>
    </w:p>
    <w:p>
      <w:pPr>
        <w:spacing w:after="0" w:line="321" w:lineRule="exact"/>
        <w:rPr>
          <w:sz w:val="20"/>
          <w:szCs w:val="20"/>
          <w:color w:val="auto"/>
        </w:rPr>
      </w:pPr>
    </w:p>
    <w:p>
      <w:pPr>
        <w:ind w:left="1740" w:hanging="423"/>
        <w:spacing w:after="0"/>
        <w:tabs>
          <w:tab w:leader="none" w:pos="17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121" w:lineRule="exact"/>
        <w:rPr>
          <w:rFonts w:ascii="Arial" w:cs="Arial" w:eastAsia="Arial" w:hAnsi="Arial"/>
          <w:sz w:val="18"/>
          <w:szCs w:val="18"/>
          <w:b w:val="1"/>
          <w:bCs w:val="1"/>
          <w:color w:val="auto"/>
        </w:rPr>
      </w:pPr>
    </w:p>
    <w:p>
      <w:pPr>
        <w:jc w:val="both"/>
        <w:ind w:left="17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Non-financial assets that are subject to amortization are reviewed for impairment whenever events or changes in circumstances indicate that the carrying amount may not be recoverable. An impairment loss is recognized for the amount by which an asset’s carrying amount exceeds its recoverable amount. The recoverable amount is the higher of an asset’s fair value less costs to sell and value in use. For the purposes of assessing impairment, assets are grouped at the lowest levels for which there are separately identifiable cash flows (cash-generating units).</w:t>
      </w:r>
    </w:p>
    <w:p>
      <w:pPr>
        <w:spacing w:after="0" w:line="79"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Non-financial assets that were subject to impairment are reviewed for possible reversal of the impairment recognized in respect thereof at each financial reporting date.</w:t>
      </w:r>
    </w:p>
    <w:p>
      <w:pPr>
        <w:spacing w:after="0" w:line="314" w:lineRule="exact"/>
        <w:rPr>
          <w:rFonts w:ascii="Arial" w:cs="Arial" w:eastAsia="Arial" w:hAnsi="Arial"/>
          <w:sz w:val="18"/>
          <w:szCs w:val="18"/>
          <w:b w:val="1"/>
          <w:bCs w:val="1"/>
          <w:color w:val="auto"/>
        </w:rPr>
      </w:pPr>
    </w:p>
    <w:p>
      <w:pPr>
        <w:ind w:left="1740" w:hanging="423"/>
        <w:spacing w:after="0"/>
        <w:tabs>
          <w:tab w:leader="none" w:pos="17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Deposit:</w:t>
      </w:r>
    </w:p>
    <w:p>
      <w:pPr>
        <w:spacing w:after="0" w:line="121" w:lineRule="exact"/>
        <w:rPr>
          <w:rFonts w:ascii="Arial" w:cs="Arial" w:eastAsia="Arial" w:hAnsi="Arial"/>
          <w:sz w:val="18"/>
          <w:szCs w:val="18"/>
          <w:b w:val="1"/>
          <w:bCs w:val="1"/>
          <w:color w:val="auto"/>
        </w:rPr>
      </w:pPr>
    </w:p>
    <w:p>
      <w:pPr>
        <w:jc w:val="both"/>
        <w:ind w:left="17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classifies certain restricted deposit balances within prepaid expenses and other current assets on the consolidated balance sheets based upon the term of the remaining restrictions. At December 31, 2020 and 2019 the Company had restricted deposit of USD 49 thousand and USD 119 thousand, respectively.</w:t>
      </w:r>
    </w:p>
    <w:p>
      <w:pPr>
        <w:spacing w:after="0" w:line="328" w:lineRule="exact"/>
        <w:rPr>
          <w:rFonts w:ascii="Arial" w:cs="Arial" w:eastAsia="Arial" w:hAnsi="Arial"/>
          <w:sz w:val="18"/>
          <w:szCs w:val="18"/>
          <w:b w:val="1"/>
          <w:bCs w:val="1"/>
          <w:color w:val="auto"/>
        </w:rPr>
      </w:pPr>
    </w:p>
    <w:p>
      <w:pPr>
        <w:ind w:left="1740" w:hanging="423"/>
        <w:spacing w:after="0"/>
        <w:tabs>
          <w:tab w:leader="none" w:pos="17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21" w:lineRule="exact"/>
        <w:rPr>
          <w:rFonts w:ascii="Arial" w:cs="Arial" w:eastAsia="Arial" w:hAnsi="Arial"/>
          <w:sz w:val="18"/>
          <w:szCs w:val="18"/>
          <w:b w:val="1"/>
          <w:bCs w:val="1"/>
          <w:color w:val="auto"/>
        </w:rPr>
      </w:pPr>
    </w:p>
    <w:p>
      <w:pPr>
        <w:jc w:val="both"/>
        <w:ind w:left="17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Compensation expense related to stock options, restricted stock units and performance stock units. The Company’s employee stock purchase plan is measured and recognized in the consolidated financial statements based on the fair value of the awards granted. The fair value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jc w:val="both"/>
        <w:ind w:left="1760" w:right="20"/>
        <w:spacing w:after="0" w:line="342" w:lineRule="auto"/>
        <w:rPr>
          <w:sz w:val="20"/>
          <w:szCs w:val="20"/>
          <w:color w:val="auto"/>
        </w:rPr>
      </w:pPr>
      <w:r>
        <w:rPr>
          <w:rFonts w:ascii="Arial" w:cs="Arial" w:eastAsia="Arial" w:hAnsi="Arial"/>
          <w:sz w:val="16"/>
          <w:szCs w:val="16"/>
          <w:color w:val="auto"/>
        </w:rPr>
        <w:t>of each option award is estimated on the grant date using the Black-Scholes option-pricing model. Stock-based compensation expense related to stock options and restricted stock is recognized over the requisite service periods of the awards.</w:t>
      </w:r>
    </w:p>
    <w:p>
      <w:pPr>
        <w:spacing w:after="0" w:line="16" w:lineRule="exact"/>
        <w:rPr>
          <w:sz w:val="20"/>
          <w:szCs w:val="20"/>
          <w:color w:val="auto"/>
        </w:rPr>
      </w:pPr>
    </w:p>
    <w:p>
      <w:pPr>
        <w:jc w:val="both"/>
        <w:ind w:left="1760" w:right="20"/>
        <w:spacing w:after="0" w:line="311" w:lineRule="auto"/>
        <w:rPr>
          <w:sz w:val="20"/>
          <w:szCs w:val="20"/>
          <w:color w:val="auto"/>
        </w:rPr>
      </w:pPr>
      <w:r>
        <w:rPr>
          <w:rFonts w:ascii="Arial" w:cs="Arial" w:eastAsia="Arial" w:hAnsi="Arial"/>
          <w:sz w:val="16"/>
          <w:szCs w:val="16"/>
          <w:color w:val="auto"/>
        </w:rPr>
        <w:t>Determining the fair value of stock options awards requires judgment. The Company’s use of the Black-Scholes option pricing model requires the input of subjective assumptions. The assumptions used in the Company’s option-pricing model represent management’s best estimates. These estimates involve inherent uncertainties and the application of management’s judgment.</w:t>
      </w:r>
    </w:p>
    <w:p>
      <w:pPr>
        <w:spacing w:after="0" w:line="4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These assumptions and estimates are as follows:</w:t>
      </w:r>
    </w:p>
    <w:p>
      <w:pPr>
        <w:spacing w:after="0" w:line="117"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Risk-Free Interest Rate. The risk-free interest rate is based on the yields of U.S. Treasury securities with maturities approximating the expected term of the awards.</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Expected Term. The expected term of an award is calculated based on the vesting date and the expiration date of the award.</w:t>
      </w:r>
    </w:p>
    <w:p>
      <w:pPr>
        <w:spacing w:after="0" w:line="140"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Volatility. The Company determined the price volatility based on daily price observations over a period equivalent to the expected term of the award.</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Dividend Yield. The dividend yield assumption is based on the Company’s history and current expectations of dividend payouts.</w:t>
      </w:r>
    </w:p>
    <w:p>
      <w:pPr>
        <w:spacing w:after="0" w:line="140"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Fair Value of Common Stock. The fair value of common stock is based on the closing price of the Company’s common stock on the grant date</w:t>
      </w:r>
    </w:p>
    <w:p>
      <w:pPr>
        <w:spacing w:after="0" w:line="315" w:lineRule="exact"/>
        <w:rPr>
          <w:sz w:val="20"/>
          <w:szCs w:val="20"/>
          <w:color w:val="auto"/>
        </w:rPr>
      </w:pPr>
    </w:p>
    <w:p>
      <w:pPr>
        <w:ind w:left="1740" w:hanging="423"/>
        <w:spacing w:after="0"/>
        <w:tabs>
          <w:tab w:leader="none" w:pos="17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34"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Post-employment benefits:</w:t>
      </w:r>
    </w:p>
    <w:p>
      <w:pPr>
        <w:spacing w:after="0" w:line="117" w:lineRule="exact"/>
        <w:rPr>
          <w:rFonts w:ascii="Arial" w:cs="Arial" w:eastAsia="Arial" w:hAnsi="Arial"/>
          <w:sz w:val="18"/>
          <w:szCs w:val="18"/>
          <w:color w:val="auto"/>
        </w:rPr>
      </w:pPr>
    </w:p>
    <w:p>
      <w:pPr>
        <w:jc w:val="both"/>
        <w:ind w:left="2320"/>
        <w:spacing w:after="0" w:line="259" w:lineRule="auto"/>
        <w:rPr>
          <w:rFonts w:ascii="Arial" w:cs="Arial" w:eastAsia="Arial" w:hAnsi="Arial"/>
          <w:sz w:val="18"/>
          <w:szCs w:val="18"/>
          <w:color w:val="auto"/>
        </w:rPr>
      </w:pPr>
      <w:r>
        <w:rPr>
          <w:rFonts w:ascii="Arial" w:cs="Arial" w:eastAsia="Arial" w:hAnsi="Arial"/>
          <w:sz w:val="18"/>
          <w:szCs w:val="18"/>
          <w:color w:val="auto"/>
        </w:rPr>
        <w:t>The Group’s main post-employment benefit plan is under section 14 to the Severance Pay Law (“Section 14”), which is accounted for as a defined contribution plan. In addition, for certain employees, the Group has an additional immaterial plan that is accounted for as a defined benefit plan. These plans are usually financed by deposits with insurance companies or with funds managed by a trustee.</w:t>
      </w:r>
    </w:p>
    <w:p>
      <w:pPr>
        <w:spacing w:after="0" w:line="335" w:lineRule="exact"/>
        <w:rPr>
          <w:rFonts w:ascii="Arial" w:cs="Arial" w:eastAsia="Arial" w:hAnsi="Arial"/>
          <w:sz w:val="18"/>
          <w:szCs w:val="18"/>
          <w:color w:val="auto"/>
        </w:rPr>
      </w:pPr>
    </w:p>
    <w:p>
      <w:pPr>
        <w:ind w:left="2740" w:hanging="424"/>
        <w:spacing w:after="0"/>
        <w:tabs>
          <w:tab w:leader="none" w:pos="274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Defined contribution plans:</w:t>
      </w:r>
    </w:p>
    <w:p>
      <w:pPr>
        <w:spacing w:after="0" w:line="117" w:lineRule="exact"/>
        <w:rPr>
          <w:rFonts w:ascii="Arial" w:cs="Arial" w:eastAsia="Arial" w:hAnsi="Arial"/>
          <w:sz w:val="18"/>
          <w:szCs w:val="18"/>
          <w:color w:val="auto"/>
        </w:rPr>
      </w:pPr>
    </w:p>
    <w:p>
      <w:pPr>
        <w:jc w:val="both"/>
        <w:ind w:left="2760"/>
        <w:spacing w:after="0" w:line="279" w:lineRule="auto"/>
        <w:rPr>
          <w:rFonts w:ascii="Arial" w:cs="Arial" w:eastAsia="Arial" w:hAnsi="Arial"/>
          <w:sz w:val="18"/>
          <w:szCs w:val="18"/>
          <w:color w:val="auto"/>
        </w:rPr>
      </w:pPr>
      <w:r>
        <w:rPr>
          <w:rFonts w:ascii="Arial" w:cs="Arial" w:eastAsia="Arial" w:hAnsi="Arial"/>
          <w:sz w:val="17"/>
          <w:szCs w:val="17"/>
          <w:color w:val="auto"/>
        </w:rPr>
        <w:t>A defined contribution plan is a post-employment benefit plan under which an entity pays fixed contributions into a separate entity and has no legal or constructive obligation to pay further amounts. Obligations for contributions to defined contribution pension plans are recognized as an expense in the statement of comprehensive income in the periods during which related services are rendered by employees.</w:t>
      </w:r>
    </w:p>
    <w:p>
      <w:pPr>
        <w:spacing w:after="0" w:line="63" w:lineRule="exact"/>
        <w:rPr>
          <w:rFonts w:ascii="Arial" w:cs="Arial" w:eastAsia="Arial" w:hAnsi="Arial"/>
          <w:sz w:val="18"/>
          <w:szCs w:val="18"/>
          <w:color w:val="auto"/>
        </w:rPr>
      </w:pPr>
    </w:p>
    <w:p>
      <w:pPr>
        <w:jc w:val="both"/>
        <w:ind w:left="2760"/>
        <w:spacing w:after="0" w:line="257" w:lineRule="auto"/>
        <w:rPr>
          <w:rFonts w:ascii="Arial" w:cs="Arial" w:eastAsia="Arial" w:hAnsi="Arial"/>
          <w:sz w:val="18"/>
          <w:szCs w:val="18"/>
          <w:color w:val="auto"/>
        </w:rPr>
      </w:pPr>
      <w:r>
        <w:rPr>
          <w:rFonts w:ascii="Arial" w:cs="Arial" w:eastAsia="Arial" w:hAnsi="Arial"/>
          <w:sz w:val="18"/>
          <w:szCs w:val="18"/>
          <w:color w:val="auto"/>
        </w:rPr>
        <w:t>According to Section 14, the payment of monthly deposits by a Company into recognized severance and pension funds or insurance policies releases it from any additional severance obligation to the employees that have entered into agreements with the Company pursuant to such Section 14. The Company has entered into agreements with a majority of its employees in order to implement Section 14 and as such, no additional liability with respect to such employees exist.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2740" w:hanging="424"/>
        <w:spacing w:after="0"/>
        <w:tabs>
          <w:tab w:leader="none" w:pos="2740" w:val="left"/>
        </w:tabs>
        <w:numPr>
          <w:ilvl w:val="3"/>
          <w:numId w:val="114"/>
        </w:numPr>
        <w:rPr>
          <w:rFonts w:ascii="Arial" w:cs="Arial" w:eastAsia="Arial" w:hAnsi="Arial"/>
          <w:sz w:val="18"/>
          <w:szCs w:val="18"/>
          <w:color w:val="auto"/>
        </w:rPr>
      </w:pPr>
      <w:r>
        <w:rPr>
          <w:rFonts w:ascii="Arial" w:cs="Arial" w:eastAsia="Arial" w:hAnsi="Arial"/>
          <w:sz w:val="18"/>
          <w:szCs w:val="18"/>
          <w:color w:val="auto"/>
        </w:rPr>
        <w:t>Defined benefit plans:</w:t>
      </w:r>
    </w:p>
    <w:p>
      <w:pPr>
        <w:spacing w:after="0" w:line="117" w:lineRule="exact"/>
        <w:rPr>
          <w:rFonts w:ascii="Arial" w:cs="Arial" w:eastAsia="Arial" w:hAnsi="Arial"/>
          <w:sz w:val="18"/>
          <w:szCs w:val="18"/>
          <w:color w:val="auto"/>
        </w:rPr>
      </w:pPr>
    </w:p>
    <w:p>
      <w:pPr>
        <w:jc w:val="both"/>
        <w:ind w:left="2760"/>
        <w:spacing w:after="0" w:line="254" w:lineRule="auto"/>
        <w:rPr>
          <w:rFonts w:ascii="Arial" w:cs="Arial" w:eastAsia="Arial" w:hAnsi="Arial"/>
          <w:sz w:val="18"/>
          <w:szCs w:val="18"/>
          <w:color w:val="auto"/>
        </w:rPr>
      </w:pPr>
      <w:r>
        <w:rPr>
          <w:rFonts w:ascii="Arial" w:cs="Arial" w:eastAsia="Arial" w:hAnsi="Arial"/>
          <w:sz w:val="18"/>
          <w:szCs w:val="18"/>
          <w:color w:val="auto"/>
        </w:rPr>
        <w:t>A defined benefit plan is a post-employment benefit plan other than a defined contribution plan. The Group’s net obligation in respect of defined benefit pension plans is calculated separately for each plan by estimating the amount of future benefit that employees have earned in return for their service in the current and prior periods. That benefit is discounted to determine its present value, and the fair value of any plan assets is deducted. The Group determines the net interest expense (income) on the net defined benefit liability (asset) for the period by applying the discount rate used to measure the defined benefit obligation at the beginning of the annual period to the then-net defined benefit liability (asset).</w:t>
      </w:r>
    </w:p>
    <w:p>
      <w:pPr>
        <w:spacing w:after="0" w:line="343" w:lineRule="exact"/>
        <w:rPr>
          <w:rFonts w:ascii="Arial" w:cs="Arial" w:eastAsia="Arial" w:hAnsi="Arial"/>
          <w:sz w:val="18"/>
          <w:szCs w:val="18"/>
          <w:color w:val="auto"/>
        </w:rPr>
      </w:pPr>
    </w:p>
    <w:p>
      <w:pPr>
        <w:ind w:left="2300" w:hanging="645"/>
        <w:spacing w:after="0"/>
        <w:tabs>
          <w:tab w:leader="none" w:pos="2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Short-term benefits:</w:t>
      </w:r>
    </w:p>
    <w:p>
      <w:pPr>
        <w:spacing w:after="0" w:line="117" w:lineRule="exact"/>
        <w:rPr>
          <w:rFonts w:ascii="Arial" w:cs="Arial" w:eastAsia="Arial" w:hAnsi="Arial"/>
          <w:sz w:val="18"/>
          <w:szCs w:val="18"/>
          <w:color w:val="auto"/>
        </w:rPr>
      </w:pPr>
    </w:p>
    <w:p>
      <w:pPr>
        <w:ind w:left="2320"/>
        <w:spacing w:after="0" w:line="342" w:lineRule="auto"/>
        <w:rPr>
          <w:rFonts w:ascii="Arial" w:cs="Arial" w:eastAsia="Arial" w:hAnsi="Arial"/>
          <w:sz w:val="18"/>
          <w:szCs w:val="18"/>
          <w:color w:val="auto"/>
        </w:rPr>
      </w:pPr>
      <w:r>
        <w:rPr>
          <w:rFonts w:ascii="Arial" w:cs="Arial" w:eastAsia="Arial" w:hAnsi="Arial"/>
          <w:sz w:val="16"/>
          <w:szCs w:val="16"/>
          <w:color w:val="auto"/>
        </w:rPr>
        <w:t>Short-term employee benefit obligations are measured on an undiscounted basis and are expensed as the related service is provided or upon the actual absence of the employee when the benefit is not accumulated (such as maternity leave).</w:t>
      </w:r>
    </w:p>
    <w:p>
      <w:pPr>
        <w:spacing w:after="0" w:line="15" w:lineRule="exact"/>
        <w:rPr>
          <w:rFonts w:ascii="Arial" w:cs="Arial" w:eastAsia="Arial" w:hAnsi="Arial"/>
          <w:sz w:val="18"/>
          <w:szCs w:val="18"/>
          <w:color w:val="auto"/>
        </w:rPr>
      </w:pPr>
    </w:p>
    <w:p>
      <w:pPr>
        <w:jc w:val="both"/>
        <w:ind w:left="2320" w:right="20"/>
        <w:spacing w:after="0" w:line="263" w:lineRule="auto"/>
        <w:rPr>
          <w:rFonts w:ascii="Arial" w:cs="Arial" w:eastAsia="Arial" w:hAnsi="Arial"/>
          <w:sz w:val="18"/>
          <w:szCs w:val="18"/>
          <w:color w:val="auto"/>
        </w:rPr>
      </w:pPr>
      <w:r>
        <w:rPr>
          <w:rFonts w:ascii="Arial" w:cs="Arial" w:eastAsia="Arial" w:hAnsi="Arial"/>
          <w:sz w:val="18"/>
          <w:szCs w:val="18"/>
          <w:color w:val="auto"/>
        </w:rPr>
        <w:t>A liability is recognized for the amount expected to be paid under short-term cash bonus or profit-sharing plans if the Group has a present legal or constructive obligation to pay this amount as a result of past service provided by the employee and the obligation can be estimated reliably.</w:t>
      </w:r>
    </w:p>
    <w:p>
      <w:pPr>
        <w:spacing w:after="0" w:line="75"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The employee benefits are classified, for measurement purposes, as short-term benefits or as other long-term benefits depending on when the Group expects the benefits to be wholly settled.</w:t>
      </w:r>
    </w:p>
    <w:p>
      <w:pPr>
        <w:spacing w:after="0" w:line="62" w:lineRule="exact"/>
        <w:rPr>
          <w:rFonts w:ascii="Arial" w:cs="Arial" w:eastAsia="Arial" w:hAnsi="Arial"/>
          <w:sz w:val="18"/>
          <w:szCs w:val="18"/>
          <w:color w:val="auto"/>
        </w:rPr>
      </w:pPr>
    </w:p>
    <w:p>
      <w:pPr>
        <w:ind w:left="2320" w:right="20"/>
        <w:spacing w:after="0" w:line="308" w:lineRule="auto"/>
        <w:rPr>
          <w:rFonts w:ascii="Arial" w:cs="Arial" w:eastAsia="Arial" w:hAnsi="Arial"/>
          <w:sz w:val="18"/>
          <w:szCs w:val="18"/>
          <w:color w:val="auto"/>
        </w:rPr>
      </w:pPr>
      <w:r>
        <w:rPr>
          <w:rFonts w:ascii="Arial" w:cs="Arial" w:eastAsia="Arial" w:hAnsi="Arial"/>
          <w:sz w:val="17"/>
          <w:szCs w:val="17"/>
          <w:color w:val="auto"/>
        </w:rPr>
        <w:t>Share-based payment arrangements in which equity instruments are granted by the parent Company to the employees of the Company are accounted for by the Company as equity-settled share-based payment transactions.</w:t>
      </w:r>
    </w:p>
    <w:p>
      <w:pPr>
        <w:spacing w:after="0" w:line="290" w:lineRule="exact"/>
        <w:rPr>
          <w:rFonts w:ascii="Arial" w:cs="Arial" w:eastAsia="Arial" w:hAnsi="Arial"/>
          <w:sz w:val="18"/>
          <w:szCs w:val="18"/>
          <w:color w:val="auto"/>
        </w:rPr>
      </w:pPr>
    </w:p>
    <w:p>
      <w:pPr>
        <w:ind w:left="1740" w:hanging="423"/>
        <w:spacing w:after="0"/>
        <w:tabs>
          <w:tab w:leader="none" w:pos="17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recognizes revenue through the following five-step model:</w:t>
      </w:r>
    </w:p>
    <w:p>
      <w:pPr>
        <w:spacing w:after="0" w:line="130" w:lineRule="exact"/>
        <w:rPr>
          <w:rFonts w:ascii="Arial" w:cs="Arial" w:eastAsia="Arial" w:hAnsi="Arial"/>
          <w:sz w:val="18"/>
          <w:szCs w:val="18"/>
          <w:b w:val="1"/>
          <w:bCs w:val="1"/>
          <w:color w:val="auto"/>
        </w:rPr>
      </w:pPr>
    </w:p>
    <w:p>
      <w:pPr>
        <w:ind w:left="2300" w:hanging="537"/>
        <w:spacing w:after="0"/>
        <w:tabs>
          <w:tab w:leader="none" w:pos="23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Identifying the contract with customer.</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Identifying distinct performance obligations in the contract.</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Allocating the transaction price to distinct performance obligations.</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Recognizing revenue when the performance obligations are satisfied.</w:t>
      </w:r>
    </w:p>
    <w:p>
      <w:pPr>
        <w:spacing w:after="0" w:line="117"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The Company generates revenue from transactions where it provides access to a platform for the purchase and sale of digital advertising inventory.</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Its customers are both ad buyers, including brands and agencies, and digital publishers.</w:t>
      </w:r>
    </w:p>
    <w:p>
      <w:pPr>
        <w:spacing w:after="0" w:line="117" w:lineRule="exact"/>
        <w:rPr>
          <w:sz w:val="20"/>
          <w:szCs w:val="20"/>
          <w:color w:val="auto"/>
        </w:rPr>
      </w:pPr>
    </w:p>
    <w:p>
      <w:pPr>
        <w:jc w:val="both"/>
        <w:ind w:left="1760" w:right="20"/>
        <w:spacing w:after="0" w:line="263" w:lineRule="auto"/>
        <w:rPr>
          <w:sz w:val="20"/>
          <w:szCs w:val="20"/>
          <w:color w:val="auto"/>
        </w:rPr>
      </w:pPr>
      <w:r>
        <w:rPr>
          <w:rFonts w:ascii="Arial" w:cs="Arial" w:eastAsia="Arial" w:hAnsi="Arial"/>
          <w:sz w:val="18"/>
          <w:szCs w:val="18"/>
          <w:color w:val="auto"/>
        </w:rPr>
        <w:t>The Company generates revenue through platform fees that are tailored to fit the customer’s specific utilization of our solutions and include: (i) a percentage of spend, (ii) flat fees and (iii) fixed costs per mile (“CPM”). CPM refers to a payment option in which customers pay a price for every 1,000 impressions an advertisement receives.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jc w:val="both"/>
        <w:ind w:left="1760"/>
        <w:spacing w:after="0" w:line="277" w:lineRule="auto"/>
        <w:rPr>
          <w:sz w:val="20"/>
          <w:szCs w:val="20"/>
          <w:color w:val="auto"/>
        </w:rPr>
      </w:pPr>
      <w:r>
        <w:rPr>
          <w:rFonts w:ascii="Arial" w:cs="Arial" w:eastAsia="Arial" w:hAnsi="Arial"/>
          <w:sz w:val="18"/>
          <w:szCs w:val="18"/>
          <w:color w:val="auto"/>
        </w:rPr>
        <w:t>The Company maintains agreements with each publisher and buyer in the form of written service agreements, which set out the terms of the relationship, including payment terms and access to the Company’s platform.</w:t>
      </w:r>
    </w:p>
    <w:p>
      <w:pPr>
        <w:spacing w:after="0" w:line="62" w:lineRule="exact"/>
        <w:rPr>
          <w:sz w:val="20"/>
          <w:szCs w:val="20"/>
          <w:color w:val="auto"/>
        </w:rPr>
      </w:pPr>
    </w:p>
    <w:p>
      <w:pPr>
        <w:jc w:val="both"/>
        <w:ind w:left="1760" w:right="20"/>
        <w:spacing w:after="0" w:line="259" w:lineRule="auto"/>
        <w:rPr>
          <w:sz w:val="20"/>
          <w:szCs w:val="20"/>
          <w:color w:val="auto"/>
        </w:rPr>
      </w:pPr>
      <w:r>
        <w:rPr>
          <w:rFonts w:ascii="Arial" w:cs="Arial" w:eastAsia="Arial" w:hAnsi="Arial"/>
          <w:sz w:val="18"/>
          <w:szCs w:val="18"/>
          <w:color w:val="auto"/>
        </w:rPr>
        <w:t>Publishers provide digital advertising inventory to the Company’s platform in the form of advertising requests, or ad request. When the Company receives ad requests from a publisher, it send bid requests to buyers, which enable buyers to bid on sellers’ digital advertising inventory according to a predefined set of parameters (e.g., demographics, intent, location, etc.). Winning bids create advertising, or paid impressions, for the publisher to present to the buyers.</w:t>
      </w:r>
    </w:p>
    <w:p>
      <w:pPr>
        <w:spacing w:after="0" w:line="79" w:lineRule="exact"/>
        <w:rPr>
          <w:sz w:val="20"/>
          <w:szCs w:val="20"/>
          <w:color w:val="auto"/>
        </w:rPr>
      </w:pPr>
    </w:p>
    <w:p>
      <w:pPr>
        <w:jc w:val="both"/>
        <w:ind w:left="1760"/>
        <w:spacing w:after="0" w:line="259" w:lineRule="auto"/>
        <w:rPr>
          <w:sz w:val="20"/>
          <w:szCs w:val="20"/>
          <w:color w:val="auto"/>
        </w:rPr>
      </w:pPr>
      <w:r>
        <w:rPr>
          <w:rFonts w:ascii="Arial" w:cs="Arial" w:eastAsia="Arial" w:hAnsi="Arial"/>
          <w:sz w:val="18"/>
          <w:szCs w:val="18"/>
          <w:color w:val="auto"/>
        </w:rPr>
        <w:t>The Company generates revenue from its Programmatic and Performance activities. Programmatic revenue is derived from the end-to-end platform of programmatic advertising, which uses software and algorithms to match buyers and sellers of digital advertising in a technology-driven marketplace. Performance revenue is derived from non-core activities, consisting of mobile-based activities that help brands reach their users.</w:t>
      </w:r>
    </w:p>
    <w:p>
      <w:pPr>
        <w:spacing w:after="0" w:line="79" w:lineRule="exact"/>
        <w:rPr>
          <w:sz w:val="20"/>
          <w:szCs w:val="20"/>
          <w:color w:val="auto"/>
        </w:rPr>
      </w:pPr>
    </w:p>
    <w:p>
      <w:pPr>
        <w:jc w:val="both"/>
        <w:ind w:left="1760"/>
        <w:spacing w:after="0" w:line="288" w:lineRule="auto"/>
        <w:rPr>
          <w:sz w:val="20"/>
          <w:szCs w:val="20"/>
          <w:color w:val="auto"/>
        </w:rPr>
      </w:pPr>
      <w:r>
        <w:rPr>
          <w:rFonts w:ascii="Arial" w:cs="Arial" w:eastAsia="Arial" w:hAnsi="Arial"/>
          <w:sz w:val="16"/>
          <w:szCs w:val="16"/>
          <w:color w:val="auto"/>
        </w:rPr>
        <w:t>Till the acquisitions of RhythmOne and its integration into the Company and the acquisition of Unruly in the beginning of 2020 (i.e. for the year ended December 31, 2019), the Company determined that it operated as a principal with respect to its Programmatic activity and therefore presented revenue on a gross basis mainly as: (i) the Company operated predominantly through a DSP platform prior to the acquisition and full integration of RhythmOne, (ii) the Company was highly involved in execution of the process, which required certain manual operations by Company employees and (iii) the Company determined that it had an implicit obligation to provide credits and inducements to customers to encourage use of the platform. That is, the Company determined, on this basis, that it had an implicit obligation to provide advertising space to customers, even though the contractual terms and conditions (including its Master Service Agreements (MSA) and Insertion Order (I/O)) do not explicitly state that the Company is obliged to deliver customers an applicable advertising space or to provide inducements to the customer. Consequently, the Company concluded that it was the primarily responsible for fulfillment of the contract.</w:t>
      </w:r>
    </w:p>
    <w:p>
      <w:pPr>
        <w:spacing w:after="0" w:line="60" w:lineRule="exact"/>
        <w:rPr>
          <w:sz w:val="20"/>
          <w:szCs w:val="20"/>
          <w:color w:val="auto"/>
        </w:rPr>
      </w:pPr>
    </w:p>
    <w:p>
      <w:pPr>
        <w:jc w:val="both"/>
        <w:ind w:left="1760"/>
        <w:spacing w:after="0" w:line="254" w:lineRule="auto"/>
        <w:rPr>
          <w:sz w:val="20"/>
          <w:szCs w:val="20"/>
          <w:color w:val="auto"/>
        </w:rPr>
      </w:pPr>
      <w:r>
        <w:rPr>
          <w:rFonts w:ascii="Arial" w:cs="Arial" w:eastAsia="Arial" w:hAnsi="Arial"/>
          <w:sz w:val="18"/>
          <w:szCs w:val="18"/>
          <w:color w:val="auto"/>
        </w:rPr>
        <w:t>Following the full integration with RhythmOne and the acquisition of Unruly in 2020, the Company positions itself as a stronger digital advertising platform in the marketplace with an integrated, end-to-end platform connecting the DSP and SSP sides of the business in a unified platform. As a result, the Company has changed its Programmatic business, tech stack, features, business models and activity as follow: (i) The Company implemented a material change in its tech stack and operations, offering new services and features that increased automation across the platform, significantly decreasing the need for Company employees to manually operate the platform; and (ii) The Company decreased significantly the level of credits and inducements offered to its customers.</w:t>
      </w:r>
    </w:p>
    <w:p>
      <w:pPr>
        <w:spacing w:after="0" w:line="87" w:lineRule="exact"/>
        <w:rPr>
          <w:sz w:val="20"/>
          <w:szCs w:val="20"/>
          <w:color w:val="auto"/>
        </w:rPr>
      </w:pPr>
    </w:p>
    <w:p>
      <w:pPr>
        <w:jc w:val="both"/>
        <w:ind w:left="1760"/>
        <w:spacing w:after="0" w:line="286" w:lineRule="auto"/>
        <w:rPr>
          <w:sz w:val="20"/>
          <w:szCs w:val="20"/>
          <w:color w:val="auto"/>
        </w:rPr>
      </w:pPr>
      <w:r>
        <w:rPr>
          <w:rFonts w:ascii="Arial" w:cs="Arial" w:eastAsia="Arial" w:hAnsi="Arial"/>
          <w:sz w:val="17"/>
          <w:szCs w:val="17"/>
          <w:color w:val="auto"/>
        </w:rPr>
        <w:t>The Company further concluded that as a result of such change in its Programmatic activity (i) it does not have manual control over the process, (ii) the Company is not primarily responsible for fulfillment, (iii) the Company has no inventory risk and (iv) the Company obtains only momentary a title to the advertising space offered via the end-to-end platform.</w:t>
      </w:r>
    </w:p>
    <w:p>
      <w:pPr>
        <w:spacing w:after="0" w:line="57" w:lineRule="exact"/>
        <w:rPr>
          <w:sz w:val="20"/>
          <w:szCs w:val="20"/>
          <w:color w:val="auto"/>
        </w:rPr>
      </w:pPr>
    </w:p>
    <w:p>
      <w:pPr>
        <w:jc w:val="both"/>
        <w:ind w:left="1760"/>
        <w:spacing w:after="0" w:line="263" w:lineRule="auto"/>
        <w:rPr>
          <w:sz w:val="20"/>
          <w:szCs w:val="20"/>
          <w:color w:val="auto"/>
        </w:rPr>
      </w:pPr>
      <w:r>
        <w:rPr>
          <w:rFonts w:ascii="Arial" w:cs="Arial" w:eastAsia="Arial" w:hAnsi="Arial"/>
          <w:sz w:val="18"/>
          <w:szCs w:val="18"/>
          <w:color w:val="auto"/>
        </w:rPr>
        <w:t>The Performance activity has not changed and the Company is still the primary obligor to provide the services and, as such, revenue is presented on a gross basis for the Performance activity. Management is focused on driving growth with the Programmatic activity through the end-to-end platform, while the Performance activity is declining over time.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The Company estimates and records reduction to revenues for volume discounts based on expected volume during the incentive term.</w:t>
      </w:r>
    </w:p>
    <w:p>
      <w:pPr>
        <w:spacing w:after="0" w:line="62" w:lineRule="exact"/>
        <w:rPr>
          <w:sz w:val="20"/>
          <w:szCs w:val="20"/>
          <w:color w:val="auto"/>
        </w:rPr>
      </w:pPr>
    </w:p>
    <w:p>
      <w:pPr>
        <w:jc w:val="both"/>
        <w:ind w:left="1760" w:right="20"/>
        <w:spacing w:after="0" w:line="259" w:lineRule="auto"/>
        <w:rPr>
          <w:sz w:val="20"/>
          <w:szCs w:val="20"/>
          <w:color w:val="auto"/>
        </w:rPr>
      </w:pPr>
      <w:r>
        <w:rPr>
          <w:rFonts w:ascii="Arial" w:cs="Arial" w:eastAsia="Arial" w:hAnsi="Arial"/>
          <w:sz w:val="18"/>
          <w:szCs w:val="18"/>
          <w:color w:val="auto"/>
        </w:rPr>
        <w:t>The Company generally invoices buyers at the end of each month for the full purchase price of ad impressions monetized in that month. Accounts receivable are recorded at the amount of gross billings for the amount it is responsible to collect and accounts payable are recorded at the net amount payable to publishers. Accordingly, both accounts receivable and accounts payable appear large in relation to revenue reported on a net basis.</w:t>
      </w:r>
    </w:p>
    <w:p>
      <w:pPr>
        <w:spacing w:after="0" w:line="331" w:lineRule="exact"/>
        <w:rPr>
          <w:sz w:val="20"/>
          <w:szCs w:val="20"/>
          <w:color w:val="auto"/>
        </w:rPr>
      </w:pPr>
    </w:p>
    <w:p>
      <w:pPr>
        <w:ind w:left="1760" w:right="7380" w:hanging="443"/>
        <w:spacing w:after="0" w:line="453" w:lineRule="auto"/>
        <w:tabs>
          <w:tab w:leader="none" w:pos="1741"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color w:val="auto"/>
        </w:rPr>
        <w:t>Classification of expenses: Cost of revenue</w:t>
      </w:r>
    </w:p>
    <w:p>
      <w:pPr>
        <w:ind w:left="1760"/>
        <w:spacing w:after="0" w:line="308" w:lineRule="auto"/>
        <w:rPr>
          <w:rFonts w:ascii="Arial" w:cs="Arial" w:eastAsia="Arial" w:hAnsi="Arial"/>
          <w:sz w:val="15"/>
          <w:szCs w:val="15"/>
          <w:b w:val="1"/>
          <w:bCs w:val="1"/>
          <w:color w:val="auto"/>
        </w:rPr>
      </w:pPr>
      <w:r>
        <w:rPr>
          <w:rFonts w:ascii="Arial" w:cs="Arial" w:eastAsia="Arial" w:hAnsi="Arial"/>
          <w:sz w:val="17"/>
          <w:szCs w:val="17"/>
          <w:color w:val="auto"/>
        </w:rPr>
        <w:t>Cost of revenue includes expenses related to third-party hosting fees and the cost of data purchased from third parties, traffic acquisition costs, data and hosting that are directly attributable to revenue generated by the Company (see Note 11b).</w:t>
      </w:r>
    </w:p>
    <w:p>
      <w:pPr>
        <w:spacing w:after="0" w:line="250" w:lineRule="exact"/>
        <w:rPr>
          <w:rFonts w:ascii="Arial" w:cs="Arial" w:eastAsia="Arial" w:hAnsi="Arial"/>
          <w:sz w:val="15"/>
          <w:szCs w:val="15"/>
          <w:b w:val="1"/>
          <w:bCs w:val="1"/>
          <w:color w:val="auto"/>
        </w:rPr>
      </w:pPr>
    </w:p>
    <w:p>
      <w:pPr>
        <w:ind w:left="176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Research and development</w:t>
      </w:r>
    </w:p>
    <w:p>
      <w:pPr>
        <w:spacing w:after="0" w:line="121" w:lineRule="exact"/>
        <w:rPr>
          <w:rFonts w:ascii="Arial" w:cs="Arial" w:eastAsia="Arial" w:hAnsi="Arial"/>
          <w:sz w:val="15"/>
          <w:szCs w:val="15"/>
          <w:b w:val="1"/>
          <w:bCs w:val="1"/>
          <w:color w:val="auto"/>
        </w:rPr>
      </w:pPr>
    </w:p>
    <w:p>
      <w:pPr>
        <w:jc w:val="both"/>
        <w:ind w:left="1760" w:right="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Research and development expenses consist primarily of compensation and related costs for personnel responsible for the research and development of new and existing products and services. Where required, development expenditures are capitalized in accordance with the Company’s standard internal capitalized development policy in accordance with IAS 38 (also see Note 3e(1)). All research costs are expensed when incurred.</w:t>
      </w:r>
    </w:p>
    <w:p>
      <w:pPr>
        <w:spacing w:after="0" w:line="290" w:lineRule="exact"/>
        <w:rPr>
          <w:rFonts w:ascii="Arial" w:cs="Arial" w:eastAsia="Arial" w:hAnsi="Arial"/>
          <w:sz w:val="15"/>
          <w:szCs w:val="15"/>
          <w:b w:val="1"/>
          <w:bCs w:val="1"/>
          <w:color w:val="auto"/>
        </w:rPr>
      </w:pPr>
    </w:p>
    <w:p>
      <w:pPr>
        <w:ind w:left="176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Selling and marketing</w:t>
      </w:r>
    </w:p>
    <w:p>
      <w:pPr>
        <w:spacing w:after="0" w:line="121" w:lineRule="exact"/>
        <w:rPr>
          <w:rFonts w:ascii="Arial" w:cs="Arial" w:eastAsia="Arial" w:hAnsi="Arial"/>
          <w:sz w:val="15"/>
          <w:szCs w:val="15"/>
          <w:b w:val="1"/>
          <w:bCs w:val="1"/>
          <w:color w:val="auto"/>
        </w:rPr>
      </w:pPr>
    </w:p>
    <w:p>
      <w:pPr>
        <w:ind w:left="1760" w:right="2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Selling and marketing expenses consist primarily of compensation and related costs for personnel engaged in customer service, sales, and sales support functions, as well as advertising and promotional expenditures.</w:t>
      </w:r>
    </w:p>
    <w:p>
      <w:pPr>
        <w:spacing w:after="0" w:line="274" w:lineRule="exact"/>
        <w:rPr>
          <w:rFonts w:ascii="Arial" w:cs="Arial" w:eastAsia="Arial" w:hAnsi="Arial"/>
          <w:sz w:val="15"/>
          <w:szCs w:val="15"/>
          <w:b w:val="1"/>
          <w:bCs w:val="1"/>
          <w:color w:val="auto"/>
        </w:rPr>
      </w:pPr>
    </w:p>
    <w:p>
      <w:pPr>
        <w:ind w:left="176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General and administrative</w:t>
      </w:r>
    </w:p>
    <w:p>
      <w:pPr>
        <w:spacing w:after="0" w:line="121" w:lineRule="exact"/>
        <w:rPr>
          <w:rFonts w:ascii="Arial" w:cs="Arial" w:eastAsia="Arial" w:hAnsi="Arial"/>
          <w:sz w:val="15"/>
          <w:szCs w:val="15"/>
          <w:b w:val="1"/>
          <w:bCs w:val="1"/>
          <w:color w:val="auto"/>
        </w:rPr>
      </w:pPr>
    </w:p>
    <w:p>
      <w:pPr>
        <w:jc w:val="both"/>
        <w:ind w:left="1760" w:right="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General and administrative expenses consist primarily of compensation and related costs for personnel, and include costs related to the Company’s facilities, finance, human resources, information technology, legal organizations and fees for professional services. Professional services are principally comprised of outside legal, and information technology consulting and outsourcing services that are not directly related to other operational expenses.</w:t>
      </w:r>
    </w:p>
    <w:p>
      <w:pPr>
        <w:spacing w:after="0" w:line="331" w:lineRule="exact"/>
        <w:rPr>
          <w:rFonts w:ascii="Arial" w:cs="Arial" w:eastAsia="Arial" w:hAnsi="Arial"/>
          <w:sz w:val="15"/>
          <w:szCs w:val="15"/>
          <w:b w:val="1"/>
          <w:bCs w:val="1"/>
          <w:color w:val="auto"/>
        </w:rPr>
      </w:pPr>
    </w:p>
    <w:p>
      <w:pPr>
        <w:ind w:left="1740" w:hanging="423"/>
        <w:spacing w:after="0"/>
        <w:tabs>
          <w:tab w:leader="none" w:pos="17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income and expenses:</w:t>
      </w:r>
    </w:p>
    <w:p>
      <w:pPr>
        <w:spacing w:after="0" w:line="121"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Financing income mainly comprises foreign currency gains and interest income.</w:t>
      </w:r>
    </w:p>
    <w:p>
      <w:pPr>
        <w:spacing w:after="0" w:line="23"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7"/>
          <w:szCs w:val="17"/>
          <w:color w:val="auto"/>
        </w:rPr>
        <w:t>Financing expenses comprises of exchange rate differences, interest and bank fees, interest on loans and other expenses.</w:t>
      </w:r>
    </w:p>
    <w:p>
      <w:pPr>
        <w:spacing w:after="0" w:line="114" w:lineRule="exact"/>
        <w:rPr>
          <w:rFonts w:ascii="Arial" w:cs="Arial" w:eastAsia="Arial" w:hAnsi="Arial"/>
          <w:sz w:val="18"/>
          <w:szCs w:val="18"/>
          <w:b w:val="1"/>
          <w:bCs w:val="1"/>
          <w:color w:val="auto"/>
        </w:rPr>
      </w:pPr>
    </w:p>
    <w:p>
      <w:pPr>
        <w:ind w:left="17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Foreign currency gains and losses on financial assets and financial liabilities are reported on a net basis as either financing income or financing expenses depending on whether foreign currency movements are in a net gain or net loss position.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1" w:lineRule="exact"/>
        <w:rPr>
          <w:sz w:val="20"/>
          <w:szCs w:val="20"/>
          <w:color w:val="auto"/>
        </w:rPr>
      </w:pPr>
    </w:p>
    <w:p>
      <w:pPr>
        <w:ind w:left="1740" w:hanging="423"/>
        <w:spacing w:after="0"/>
        <w:tabs>
          <w:tab w:leader="none" w:pos="17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121"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Income tax comprises current and deferred tax. Current tax and deferred tax are recognized in the statement of comprehensive income except to the extent that they relate to a business combination.</w:t>
      </w:r>
    </w:p>
    <w:p>
      <w:pPr>
        <w:spacing w:after="0" w:line="278"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Current taxes</w:t>
      </w:r>
    </w:p>
    <w:p>
      <w:pPr>
        <w:spacing w:after="0" w:line="117"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Current tax is the expected tax payable (or receivable) on the taxable income for the year, using tax rates enacted or substantively enacted at the reporting date.</w:t>
      </w:r>
    </w:p>
    <w:p>
      <w:pPr>
        <w:spacing w:after="0" w:line="278"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taxes</w:t>
      </w:r>
    </w:p>
    <w:p>
      <w:pPr>
        <w:spacing w:after="0" w:line="117"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is recognized in respect of temporary differences between the carrying amounts of assets and liabilities for financial reporting purposes and the amounts used for taxation purposes.</w:t>
      </w:r>
    </w:p>
    <w:p>
      <w:pPr>
        <w:spacing w:after="0" w:line="62"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Deferred tax is not recognized for the following temporary differences:</w:t>
      </w:r>
    </w:p>
    <w:p>
      <w:pPr>
        <w:spacing w:after="0" w:line="130"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initial recognition of goodwill; and</w:t>
      </w:r>
    </w:p>
    <w:p>
      <w:pPr>
        <w:spacing w:after="0" w:line="130" w:lineRule="exact"/>
        <w:rPr>
          <w:rFonts w:ascii="Arial" w:cs="Arial" w:eastAsia="Arial" w:hAnsi="Arial"/>
          <w:sz w:val="18"/>
          <w:szCs w:val="18"/>
          <w:color w:val="auto"/>
        </w:rPr>
      </w:pPr>
    </w:p>
    <w:p>
      <w:pPr>
        <w:ind w:left="2300" w:hanging="537"/>
        <w:spacing w:after="0" w:line="342" w:lineRule="auto"/>
        <w:tabs>
          <w:tab w:leader="none" w:pos="23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Differences relating to investments in subsidiaries to the extent it is probable that they will not reverse in the foreseeable future, either by way of selling the investment or by way of distributing taxable dividends in respect of the investment.</w:t>
      </w:r>
    </w:p>
    <w:p>
      <w:pPr>
        <w:spacing w:after="0" w:line="16" w:lineRule="exact"/>
        <w:rPr>
          <w:sz w:val="20"/>
          <w:szCs w:val="20"/>
          <w:color w:val="auto"/>
        </w:rPr>
      </w:pPr>
    </w:p>
    <w:p>
      <w:pPr>
        <w:jc w:val="both"/>
        <w:ind w:left="1760"/>
        <w:spacing w:after="0" w:line="259" w:lineRule="auto"/>
        <w:rPr>
          <w:sz w:val="20"/>
          <w:szCs w:val="20"/>
          <w:color w:val="auto"/>
        </w:rPr>
      </w:pPr>
      <w:r>
        <w:rPr>
          <w:rFonts w:ascii="Arial" w:cs="Arial" w:eastAsia="Arial" w:hAnsi="Arial"/>
          <w:sz w:val="18"/>
          <w:szCs w:val="18"/>
          <w:color w:val="auto"/>
        </w:rPr>
        <w:t>The measurement of deferred tax reflects the tax consequences that would follow the manner in which the Group expects, at the end of the reporting period, to recover or settle the carrying amount of its assets and liabilities. Deferred tax is measured at the tax rates that are expected to be applied to temporary differences when they reverse, based on the laws that have been enacted or substantively enacted by the reporting date.</w:t>
      </w:r>
    </w:p>
    <w:p>
      <w:pPr>
        <w:spacing w:after="0" w:line="79" w:lineRule="exact"/>
        <w:rPr>
          <w:sz w:val="20"/>
          <w:szCs w:val="20"/>
          <w:color w:val="auto"/>
        </w:rPr>
      </w:pPr>
    </w:p>
    <w:p>
      <w:pPr>
        <w:jc w:val="both"/>
        <w:ind w:left="1760" w:right="20"/>
        <w:spacing w:after="0" w:line="286" w:lineRule="auto"/>
        <w:rPr>
          <w:sz w:val="20"/>
          <w:szCs w:val="20"/>
          <w:color w:val="auto"/>
        </w:rPr>
      </w:pPr>
      <w:r>
        <w:rPr>
          <w:rFonts w:ascii="Arial" w:cs="Arial" w:eastAsia="Arial" w:hAnsi="Arial"/>
          <w:sz w:val="17"/>
          <w:szCs w:val="17"/>
          <w:color w:val="auto"/>
        </w:rPr>
        <w:t>A deferred tax asset is recognized for tax benefits and deductible temporary differences, to the extent that it is probable that future taxable profits will be available against which they can be utilized. Deferred tax assets are reviewed at each reporting date and are reduced to the extent that it is no longer probable that the related tax benefit will be realized.</w:t>
      </w:r>
    </w:p>
    <w:p>
      <w:pPr>
        <w:spacing w:after="0" w:line="26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Offset of deferred tax assets and liabilities</w:t>
      </w:r>
    </w:p>
    <w:p>
      <w:pPr>
        <w:spacing w:after="0" w:line="121"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Deferred tax assets and liabilities are offset if there is a legally enforceable right to offset current tax liabilities and assets, and they relate to income taxes levied by the same tax authority.</w:t>
      </w:r>
    </w:p>
    <w:p>
      <w:pPr>
        <w:spacing w:after="0" w:line="274"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A provision for uncertain tax positions, including additional tax and interest expenses, is recognized when it is more probable than not that the Group will have to use its economic resources to pay the obligation.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1" w:lineRule="exact"/>
        <w:rPr>
          <w:sz w:val="20"/>
          <w:szCs w:val="20"/>
          <w:color w:val="auto"/>
        </w:rPr>
      </w:pPr>
    </w:p>
    <w:p>
      <w:pPr>
        <w:ind w:left="1740" w:hanging="423"/>
        <w:spacing w:after="0"/>
        <w:tabs>
          <w:tab w:leader="none" w:pos="17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Determining whether an arrangement contains a lease</w:t>
      </w:r>
    </w:p>
    <w:p>
      <w:pPr>
        <w:spacing w:after="0" w:line="121" w:lineRule="exact"/>
        <w:rPr>
          <w:rFonts w:ascii="Arial" w:cs="Arial" w:eastAsia="Arial" w:hAnsi="Arial"/>
          <w:sz w:val="18"/>
          <w:szCs w:val="18"/>
          <w:b w:val="1"/>
          <w:bCs w:val="1"/>
          <w:color w:val="auto"/>
        </w:rPr>
      </w:pPr>
    </w:p>
    <w:p>
      <w:pPr>
        <w:jc w:val="both"/>
        <w:ind w:left="17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the inception date of the lease, the Group determines whether the arrangement is a lease or contains a lease, while examining if it conveys the right to control the use of an identified asset for a period of time in exchange for consideration. In its assessment of whether an arrangement conveys the right to control the use of an identified asset, the Group assesses whether it has the following two rights throughout the lease term:</w:t>
      </w:r>
    </w:p>
    <w:p>
      <w:pPr>
        <w:spacing w:after="0" w:line="92"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right to obtain substantially all the economic benefits from use of the identified asset; and</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right to direct the identified asset’s use.</w:t>
      </w:r>
    </w:p>
    <w:p>
      <w:pPr>
        <w:spacing w:after="0" w:line="117" w:lineRule="exact"/>
        <w:rPr>
          <w:sz w:val="20"/>
          <w:szCs w:val="20"/>
          <w:color w:val="auto"/>
        </w:rPr>
      </w:pPr>
    </w:p>
    <w:p>
      <w:pPr>
        <w:jc w:val="both"/>
        <w:ind w:left="1760" w:right="20"/>
        <w:spacing w:after="0" w:line="308" w:lineRule="auto"/>
        <w:rPr>
          <w:sz w:val="20"/>
          <w:szCs w:val="20"/>
          <w:color w:val="auto"/>
        </w:rPr>
      </w:pPr>
      <w:r>
        <w:rPr>
          <w:rFonts w:ascii="Arial" w:cs="Arial" w:eastAsia="Arial" w:hAnsi="Arial"/>
          <w:sz w:val="17"/>
          <w:szCs w:val="17"/>
          <w:color w:val="auto"/>
        </w:rPr>
        <w:t>For lease contracts that contain non-lease components, such as services or maintenance, that are related to a lease component, the Group elected to account for the contract as a single lease component without separating the components.</w:t>
      </w:r>
    </w:p>
    <w:p>
      <w:pPr>
        <w:spacing w:after="0" w:line="25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Leased assets and lease liabilities</w:t>
      </w:r>
    </w:p>
    <w:p>
      <w:pPr>
        <w:spacing w:after="0" w:line="121" w:lineRule="exact"/>
        <w:rPr>
          <w:sz w:val="20"/>
          <w:szCs w:val="20"/>
          <w:color w:val="auto"/>
        </w:rPr>
      </w:pPr>
    </w:p>
    <w:p>
      <w:pPr>
        <w:jc w:val="both"/>
        <w:ind w:left="1760"/>
        <w:spacing w:after="0" w:line="257" w:lineRule="auto"/>
        <w:rPr>
          <w:sz w:val="20"/>
          <w:szCs w:val="20"/>
          <w:color w:val="auto"/>
        </w:rPr>
      </w:pPr>
      <w:r>
        <w:rPr>
          <w:rFonts w:ascii="Arial" w:cs="Arial" w:eastAsia="Arial" w:hAnsi="Arial"/>
          <w:sz w:val="18"/>
          <w:szCs w:val="18"/>
          <w:color w:val="auto"/>
        </w:rPr>
        <w:t>Contracts that award the Group control over the use of a leased asset for a period of time in exchange for consideration, are accounted for as leases. Upon initial recognition, the Group recognizes a liability at the present value of the balance of future lease payments (these payments do not include certain variable lease payments), and concurrently recognizes a right-of-use asset at the same amount of the lease liability, adjusted for any prepaid or accrued lease payments or provision for impairment, plus initial direct costs incurred in respect of the lease.</w:t>
      </w:r>
    </w:p>
    <w:p>
      <w:pPr>
        <w:spacing w:after="0" w:line="80" w:lineRule="exact"/>
        <w:rPr>
          <w:sz w:val="20"/>
          <w:szCs w:val="20"/>
          <w:color w:val="auto"/>
        </w:rPr>
      </w:pPr>
    </w:p>
    <w:p>
      <w:pPr>
        <w:jc w:val="both"/>
        <w:ind w:left="1760" w:right="20"/>
        <w:spacing w:after="0" w:line="263" w:lineRule="auto"/>
        <w:rPr>
          <w:sz w:val="20"/>
          <w:szCs w:val="20"/>
          <w:color w:val="auto"/>
        </w:rPr>
      </w:pPr>
      <w:r>
        <w:rPr>
          <w:rFonts w:ascii="Arial" w:cs="Arial" w:eastAsia="Arial" w:hAnsi="Arial"/>
          <w:sz w:val="18"/>
          <w:szCs w:val="18"/>
          <w:color w:val="auto"/>
        </w:rPr>
        <w:t>Since the interest rate implicit in the Group’s leases is not readily determinable, the incremental borrowing rate of the lessee is used. Subsequent to initial recognition, the right-of-use asset is accounted for using the cost model, and depreciated over the shorter of the lease term or useful life of the asset.</w:t>
      </w: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The lease term</w:t>
      </w:r>
    </w:p>
    <w:p>
      <w:pPr>
        <w:spacing w:after="0" w:line="121"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The lease term is the non-cancellable period of the lease plus periods covered by an extension or termination option if it is reasonably certain that the lessee will or will not exercise the option, respectively.</w:t>
      </w:r>
    </w:p>
    <w:p>
      <w:pPr>
        <w:spacing w:after="0" w:line="274"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Variable lease payments</w:t>
      </w:r>
    </w:p>
    <w:p>
      <w:pPr>
        <w:spacing w:after="0" w:line="121" w:lineRule="exact"/>
        <w:rPr>
          <w:sz w:val="20"/>
          <w:szCs w:val="20"/>
          <w:color w:val="auto"/>
        </w:rPr>
      </w:pPr>
    </w:p>
    <w:p>
      <w:pPr>
        <w:jc w:val="both"/>
        <w:ind w:left="1760" w:right="20"/>
        <w:spacing w:after="0" w:line="259" w:lineRule="auto"/>
        <w:rPr>
          <w:sz w:val="20"/>
          <w:szCs w:val="20"/>
          <w:color w:val="auto"/>
        </w:rPr>
      </w:pPr>
      <w:r>
        <w:rPr>
          <w:rFonts w:ascii="Arial" w:cs="Arial" w:eastAsia="Arial" w:hAnsi="Arial"/>
          <w:sz w:val="18"/>
          <w:szCs w:val="18"/>
          <w:color w:val="auto"/>
        </w:rPr>
        <w:t>Variable lease payments that depend on an index or a rate, are initially measured using the index or rate existing at the commencement of the lease and are included in the measurement of the lease liability. When the cash flows of future lease payments change as the result of a change in an index or a rate, the balance of the liability is adjusted against the right-of-use asset.</w:t>
      </w:r>
    </w:p>
    <w:p>
      <w:pPr>
        <w:spacing w:after="0" w:line="79"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Other variable lease payments that are not included in the measurement of the lease liability are recognized in profit or loss in the period in which the event or condition that triggers payment occurs.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1"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Depreciation of right-of-use asset</w:t>
      </w:r>
    </w:p>
    <w:p>
      <w:pPr>
        <w:spacing w:after="0" w:line="121" w:lineRule="exact"/>
        <w:rPr>
          <w:sz w:val="20"/>
          <w:szCs w:val="20"/>
          <w:color w:val="auto"/>
        </w:rPr>
      </w:pPr>
    </w:p>
    <w:p>
      <w:pPr>
        <w:jc w:val="both"/>
        <w:ind w:left="1760"/>
        <w:spacing w:after="0" w:line="263" w:lineRule="auto"/>
        <w:rPr>
          <w:sz w:val="20"/>
          <w:szCs w:val="20"/>
          <w:color w:val="auto"/>
        </w:rPr>
      </w:pPr>
      <w:r>
        <w:rPr>
          <w:rFonts w:ascii="Arial" w:cs="Arial" w:eastAsia="Arial" w:hAnsi="Arial"/>
          <w:sz w:val="18"/>
          <w:szCs w:val="18"/>
          <w:color w:val="auto"/>
        </w:rPr>
        <w:t>After lease commencement, a right-of-use asset is measured on a cost basis less accumulated depreciation and accumulated impairment losses and is adjusted for re-measurements of the lease liability. Depreciation is calculated on a straight-line basis over the useful life or contractual lease period, whichever earlier, as follows:</w:t>
      </w:r>
    </w:p>
    <w:p>
      <w:pPr>
        <w:sectPr>
          <w:pgSz w:w="11900" w:h="16838" w:orient="portrait"/>
          <w:cols w:equalWidth="0" w:num="1">
            <w:col w:w="11140"/>
          </w:cols>
          <w:pgMar w:left="320" w:top="459" w:right="439" w:bottom="1440" w:gutter="0" w:footer="0" w:header="0"/>
        </w:sectPr>
      </w:pPr>
    </w:p>
    <w:p>
      <w:pPr>
        <w:spacing w:after="0" w:line="89"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Data centers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1-8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 years</w:t>
      </w:r>
    </w:p>
    <w:p>
      <w:pPr>
        <w:spacing w:after="0" w:line="211" w:lineRule="exact"/>
        <w:rPr>
          <w:sz w:val="20"/>
          <w:szCs w:val="20"/>
          <w:color w:val="auto"/>
        </w:rPr>
      </w:pPr>
    </w:p>
    <w:p>
      <w:pPr>
        <w:sectPr>
          <w:pgSz w:w="11900" w:h="16838" w:orient="portrait"/>
          <w:cols w:equalWidth="0" w:num="3">
            <w:col w:w="1840" w:space="280"/>
            <w:col w:w="1560" w:space="720"/>
            <w:col w:w="6740"/>
          </w:cols>
          <w:pgMar w:left="320" w:top="459" w:right="439" w:bottom="1440" w:gutter="0" w:footer="0" w:header="0"/>
          <w:type w:val="continuous"/>
        </w:sectPr>
      </w:pPr>
    </w:p>
    <w:p>
      <w:pPr>
        <w:spacing w:after="0" w:line="126"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Reassessment of lease liability</w:t>
      </w:r>
    </w:p>
    <w:p>
      <w:pPr>
        <w:spacing w:after="0" w:line="121" w:lineRule="exact"/>
        <w:rPr>
          <w:sz w:val="20"/>
          <w:szCs w:val="20"/>
          <w:color w:val="auto"/>
        </w:rPr>
      </w:pPr>
    </w:p>
    <w:p>
      <w:pPr>
        <w:jc w:val="both"/>
        <w:ind w:left="1760"/>
        <w:spacing w:after="0" w:line="255" w:lineRule="auto"/>
        <w:rPr>
          <w:sz w:val="20"/>
          <w:szCs w:val="20"/>
          <w:color w:val="auto"/>
        </w:rPr>
      </w:pPr>
      <w:r>
        <w:rPr>
          <w:rFonts w:ascii="Arial" w:cs="Arial" w:eastAsia="Arial" w:hAnsi="Arial"/>
          <w:sz w:val="18"/>
          <w:szCs w:val="18"/>
          <w:color w:val="auto"/>
        </w:rPr>
        <w:t>Upon the occurrence of a significant event or a significant change in circumstances that is under the control of the Group and had an effect on the decision whether it is reasonably certain that the Group will exercise an option, which was not included before in the lease term, or will not exercise an option, which was previously included in the lease term, the Group re-measures the lease liability according to the revised leased payments using a new discount rate. The change in the carrying amount of the liability is recognized against the right-of-use asset, or recognized in profit or loss if the carrying amount of the right-of-use asset was reduced to zero.</w:t>
      </w:r>
    </w:p>
    <w:p>
      <w:pPr>
        <w:spacing w:after="0" w:line="296"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Lease modifications</w:t>
      </w:r>
    </w:p>
    <w:p>
      <w:pPr>
        <w:spacing w:after="0" w:line="121" w:lineRule="exact"/>
        <w:rPr>
          <w:sz w:val="20"/>
          <w:szCs w:val="20"/>
          <w:color w:val="auto"/>
        </w:rPr>
      </w:pPr>
    </w:p>
    <w:p>
      <w:pPr>
        <w:jc w:val="both"/>
        <w:ind w:left="1760"/>
        <w:spacing w:after="0" w:line="259" w:lineRule="auto"/>
        <w:rPr>
          <w:sz w:val="20"/>
          <w:szCs w:val="20"/>
          <w:color w:val="auto"/>
        </w:rPr>
      </w:pPr>
      <w:r>
        <w:rPr>
          <w:rFonts w:ascii="Arial" w:cs="Arial" w:eastAsia="Arial" w:hAnsi="Arial"/>
          <w:sz w:val="18"/>
          <w:szCs w:val="18"/>
          <w:color w:val="auto"/>
        </w:rPr>
        <w:t>When a lease modification increases the scope of the lease by adding a right to use one or more underlying assets, and the consideration for the lease increased by an amount commensurate with the stand-alone price for the increase in scope and any appropriate adjustments to that stand-alone price to reflect the contract’s circumstances, the Group accounts for the modification as a separate lease.</w:t>
      </w:r>
    </w:p>
    <w:p>
      <w:pPr>
        <w:spacing w:after="0" w:line="79" w:lineRule="exact"/>
        <w:rPr>
          <w:sz w:val="20"/>
          <w:szCs w:val="20"/>
          <w:color w:val="auto"/>
        </w:rPr>
      </w:pPr>
    </w:p>
    <w:p>
      <w:pPr>
        <w:jc w:val="both"/>
        <w:ind w:left="1760" w:right="20"/>
        <w:spacing w:after="0" w:line="263" w:lineRule="auto"/>
        <w:rPr>
          <w:sz w:val="20"/>
          <w:szCs w:val="20"/>
          <w:color w:val="auto"/>
        </w:rPr>
      </w:pPr>
      <w:r>
        <w:rPr>
          <w:rFonts w:ascii="Arial" w:cs="Arial" w:eastAsia="Arial" w:hAnsi="Arial"/>
          <w:sz w:val="18"/>
          <w:szCs w:val="18"/>
          <w:color w:val="auto"/>
        </w:rPr>
        <w:t>In all other cases, on the initial date of the lease modification, the Group allocates the consideration in the modified contract to the contract components, determines the revised lease term and measures the lease liability by discounting the revised lease payments using a revised discount rate.</w:t>
      </w:r>
    </w:p>
    <w:p>
      <w:pPr>
        <w:spacing w:after="0" w:line="76" w:lineRule="exact"/>
        <w:rPr>
          <w:sz w:val="20"/>
          <w:szCs w:val="20"/>
          <w:color w:val="auto"/>
        </w:rPr>
      </w:pPr>
    </w:p>
    <w:p>
      <w:pPr>
        <w:jc w:val="both"/>
        <w:ind w:left="1760" w:right="20"/>
        <w:spacing w:after="0" w:line="286" w:lineRule="auto"/>
        <w:rPr>
          <w:sz w:val="20"/>
          <w:szCs w:val="20"/>
          <w:color w:val="auto"/>
        </w:rPr>
      </w:pPr>
      <w:r>
        <w:rPr>
          <w:rFonts w:ascii="Arial" w:cs="Arial" w:eastAsia="Arial" w:hAnsi="Arial"/>
          <w:sz w:val="17"/>
          <w:szCs w:val="17"/>
          <w:color w:val="auto"/>
        </w:rPr>
        <w:t>For lease modifications that decrease the scope of the lease, the Group recognizes a decrease in the carrying amount of the right-of-use asset in order to reflect the partial or full cancellation of the lease, and recognizes in profit or loss a profit (or loss) that equals the difference between the decrease in the right-of-use asset and re-measurement of the lease liability.</w:t>
      </w:r>
    </w:p>
    <w:p>
      <w:pPr>
        <w:spacing w:after="0" w:line="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For other lease modifications, the Group re-measures the lease liability against the right-of-use asset.</w:t>
      </w:r>
    </w:p>
    <w:p>
      <w:pPr>
        <w:spacing w:after="0" w:line="32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Subleases</w:t>
      </w:r>
    </w:p>
    <w:p>
      <w:pPr>
        <w:spacing w:after="0" w:line="121" w:lineRule="exact"/>
        <w:rPr>
          <w:sz w:val="20"/>
          <w:szCs w:val="20"/>
          <w:color w:val="auto"/>
        </w:rPr>
      </w:pPr>
    </w:p>
    <w:p>
      <w:pPr>
        <w:jc w:val="both"/>
        <w:ind w:left="1760" w:right="20"/>
        <w:spacing w:after="0" w:line="263" w:lineRule="auto"/>
        <w:rPr>
          <w:sz w:val="20"/>
          <w:szCs w:val="20"/>
          <w:color w:val="auto"/>
        </w:rPr>
      </w:pPr>
      <w:r>
        <w:rPr>
          <w:rFonts w:ascii="Arial" w:cs="Arial" w:eastAsia="Arial" w:hAnsi="Arial"/>
          <w:sz w:val="18"/>
          <w:szCs w:val="18"/>
          <w:color w:val="auto"/>
        </w:rPr>
        <w:t>In leases where the Group subleases the underlying asset, the Group examines whether the sublease is a finance lease or operating lease with respect to the right-of-use received from the head lease. The Group examined the subleases existing on the date of initial application based on the remaining contractual terms at that date.</w:t>
      </w:r>
    </w:p>
    <w:p>
      <w:pPr>
        <w:spacing w:after="0" w:line="328" w:lineRule="exact"/>
        <w:rPr>
          <w:sz w:val="20"/>
          <w:szCs w:val="20"/>
          <w:color w:val="auto"/>
        </w:rPr>
      </w:pPr>
    </w:p>
    <w:p>
      <w:pPr>
        <w:ind w:left="1740" w:hanging="423"/>
        <w:spacing w:after="0"/>
        <w:tabs>
          <w:tab w:leader="none" w:pos="17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presents basic and diluted earnings per share (EPS) data for its ordinary shares. Basic EPS is calculated by dividing the profit or loss attributable to ordinary shareholders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type w:val="continuous"/>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jc w:val="both"/>
        <w:ind w:left="1760"/>
        <w:spacing w:after="0" w:line="259" w:lineRule="auto"/>
        <w:rPr>
          <w:sz w:val="20"/>
          <w:szCs w:val="20"/>
          <w:color w:val="auto"/>
        </w:rPr>
      </w:pPr>
      <w:r>
        <w:rPr>
          <w:rFonts w:ascii="Arial" w:cs="Arial" w:eastAsia="Arial" w:hAnsi="Arial"/>
          <w:sz w:val="18"/>
          <w:szCs w:val="18"/>
          <w:color w:val="auto"/>
        </w:rPr>
        <w:t>Company by the weighted average number of ordinary shares outstanding during the year, adjusted for treasury shares. Diluted EPS is determined by adjusting the profit or loss attributable to ordinary shareholders of the Company and the weighted average number of ordinary shares outstanding, after adjustment for treasury shares, for the effects of all dilutive potential ordinary shares, which comprise restricted stock.</w:t>
      </w:r>
    </w:p>
    <w:p>
      <w:pPr>
        <w:spacing w:after="0" w:line="331" w:lineRule="exact"/>
        <w:rPr>
          <w:sz w:val="20"/>
          <w:szCs w:val="20"/>
          <w:color w:val="auto"/>
        </w:rPr>
      </w:pPr>
    </w:p>
    <w:p>
      <w:pPr>
        <w:ind w:left="1760" w:right="3360" w:hanging="443"/>
        <w:spacing w:after="0" w:line="377" w:lineRule="auto"/>
        <w:tabs>
          <w:tab w:leader="none" w:pos="1741"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New standards, amendments to standards and interpretations not yet adopted: Amendment to IFRS 3, Business Combinations</w:t>
      </w:r>
    </w:p>
    <w:p>
      <w:pPr>
        <w:spacing w:after="0" w:line="1" w:lineRule="exact"/>
        <w:rPr>
          <w:rFonts w:ascii="Arial" w:cs="Arial" w:eastAsia="Arial" w:hAnsi="Arial"/>
          <w:sz w:val="18"/>
          <w:szCs w:val="18"/>
          <w:b w:val="1"/>
          <w:bCs w:val="1"/>
          <w:color w:val="auto"/>
        </w:rPr>
      </w:pPr>
    </w:p>
    <w:p>
      <w:pPr>
        <w:jc w:val="both"/>
        <w:ind w:left="17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Amendment adds an exception to the principle for recognizing liabilities in IFRS 3. According to the exception, contingent liabilities are to be recognized according to the requirements of IAS 37 and IFRIC 21 and not according to the conceptual framework. The Amendment prevents differences in the timing of recognizing liabilities that could have led to the recognition of gains and losses immediately after the business combination (day 2 gain or loss). The Amendment also clarifies that contingent assets are not to be recognized on the date of the business combination. The Amendment is effective for annual periods beginning on or after January 1, 2022. The Group has not yet commenced examining the effects of the Amendment on the financial statements.</w:t>
      </w:r>
    </w:p>
    <w:p>
      <w:pPr>
        <w:spacing w:after="0" w:line="298"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Amendments to IFRS 9</w:t>
      </w:r>
    </w:p>
    <w:p>
      <w:pPr>
        <w:spacing w:after="0" w:line="121" w:lineRule="exact"/>
        <w:rPr>
          <w:rFonts w:ascii="Arial" w:cs="Arial" w:eastAsia="Arial" w:hAnsi="Arial"/>
          <w:sz w:val="18"/>
          <w:szCs w:val="18"/>
          <w:b w:val="1"/>
          <w:bCs w:val="1"/>
          <w:color w:val="auto"/>
        </w:rPr>
      </w:pPr>
    </w:p>
    <w:p>
      <w:pPr>
        <w:jc w:val="both"/>
        <w:ind w:left="17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Amendments include practical expedients regarding the accounting treatment of modifications in contractual terms that are a result of the interest rate benchmark reform (a reform that in the future will lead to the replacement of interest rates such as the Libor and Euribor). Thus for example:</w:t>
      </w:r>
    </w:p>
    <w:p>
      <w:pPr>
        <w:spacing w:after="0" w:line="89" w:lineRule="exact"/>
        <w:rPr>
          <w:rFonts w:ascii="Arial" w:cs="Arial" w:eastAsia="Arial" w:hAnsi="Arial"/>
          <w:sz w:val="18"/>
          <w:szCs w:val="18"/>
          <w:b w:val="1"/>
          <w:bCs w:val="1"/>
          <w:color w:val="auto"/>
        </w:rPr>
      </w:pPr>
    </w:p>
    <w:p>
      <w:pPr>
        <w:ind w:left="2300" w:right="20" w:hanging="537"/>
        <w:spacing w:after="0" w:line="308" w:lineRule="auto"/>
        <w:tabs>
          <w:tab w:leader="none" w:pos="230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When certain modifications are made in the terms of financial assets or financial liabilities as a result of the reform, the entity shall update the effective interest rate of the financial instrument instead of recognizing a gain or loss.</w:t>
      </w:r>
    </w:p>
    <w:p>
      <w:pPr>
        <w:spacing w:after="0" w:line="51" w:lineRule="exact"/>
        <w:rPr>
          <w:rFonts w:ascii="Arial" w:cs="Arial" w:eastAsia="Arial" w:hAnsi="Arial"/>
          <w:sz w:val="17"/>
          <w:szCs w:val="17"/>
          <w:color w:val="auto"/>
        </w:rPr>
      </w:pPr>
    </w:p>
    <w:p>
      <w:pPr>
        <w:ind w:left="2300" w:right="20" w:hanging="537"/>
        <w:spacing w:after="0" w:line="277" w:lineRule="auto"/>
        <w:tabs>
          <w:tab w:leader="none" w:pos="2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Certain modifications in lease terms that are a result of the reform shall be accounted for as an update to lease payments that depend on an index or rate.</w:t>
      </w:r>
    </w:p>
    <w:p>
      <w:pPr>
        <w:spacing w:after="0" w:line="75" w:lineRule="exact"/>
        <w:rPr>
          <w:rFonts w:ascii="Arial" w:cs="Arial" w:eastAsia="Arial" w:hAnsi="Arial"/>
          <w:sz w:val="18"/>
          <w:szCs w:val="18"/>
          <w:color w:val="auto"/>
        </w:rPr>
      </w:pPr>
    </w:p>
    <w:p>
      <w:pPr>
        <w:ind w:left="2300" w:hanging="537"/>
        <w:spacing w:after="0" w:line="277" w:lineRule="auto"/>
        <w:tabs>
          <w:tab w:leader="none" w:pos="2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Certain modifications in terms of the hedging instrument or hedged item that are a result of the reform shall not lead to the discontinuance of hedge accounting.</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Amendments are applicable retrospectively as from January 1, 2021 with early application permitted.</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In the opinion of the Group, application of the Amendments is not expected to have a material effect on the financial statements.</w:t>
      </w:r>
    </w:p>
    <w:p>
      <w:pPr>
        <w:spacing w:after="0" w:line="27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INCOME TAX</w:t>
      </w:r>
    </w:p>
    <w:p>
      <w:pPr>
        <w:spacing w:after="0" w:line="131" w:lineRule="exact"/>
        <w:rPr>
          <w:sz w:val="20"/>
          <w:szCs w:val="20"/>
          <w:color w:val="auto"/>
        </w:rPr>
      </w:pPr>
    </w:p>
    <w:p>
      <w:pPr>
        <w:ind w:left="1740" w:hanging="423"/>
        <w:spacing w:after="0"/>
        <w:tabs>
          <w:tab w:leader="none" w:pos="17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Details regarding the tax environment of the Israeli companies:</w:t>
      </w:r>
    </w:p>
    <w:p>
      <w:pPr>
        <w:spacing w:after="0" w:line="134"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Corporate tax rate</w:t>
      </w:r>
    </w:p>
    <w:p>
      <w:pPr>
        <w:spacing w:after="0" w:line="117"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color w:val="auto"/>
        </w:rPr>
        <w:t>Taxable income of the Israeli parent is subject to the Israeli corporate tax at the rate of 23% in 2020 and 2019.</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INCOME TAX (Cont.)</w:t>
      </w:r>
    </w:p>
    <w:p>
      <w:pPr>
        <w:spacing w:after="0" w:line="135" w:lineRule="exact"/>
        <w:rPr>
          <w:sz w:val="20"/>
          <w:szCs w:val="20"/>
          <w:color w:val="auto"/>
        </w:rPr>
      </w:pPr>
    </w:p>
    <w:p>
      <w:pPr>
        <w:ind w:left="2300" w:hanging="537"/>
        <w:spacing w:after="0"/>
        <w:tabs>
          <w:tab w:leader="none" w:pos="2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Benefits under the Law for the Encouragement of Capital Investments</w:t>
      </w:r>
    </w:p>
    <w:p>
      <w:pPr>
        <w:spacing w:after="0" w:line="117" w:lineRule="exact"/>
        <w:rPr>
          <w:rFonts w:ascii="Arial" w:cs="Arial" w:eastAsia="Arial" w:hAnsi="Arial"/>
          <w:sz w:val="18"/>
          <w:szCs w:val="18"/>
          <w:color w:val="auto"/>
        </w:rPr>
      </w:pPr>
    </w:p>
    <w:p>
      <w:pPr>
        <w:ind w:left="2320"/>
        <w:spacing w:after="0" w:line="277" w:lineRule="auto"/>
        <w:rPr>
          <w:rFonts w:ascii="Arial" w:cs="Arial" w:eastAsia="Arial" w:hAnsi="Arial"/>
          <w:sz w:val="18"/>
          <w:szCs w:val="18"/>
          <w:color w:val="auto"/>
        </w:rPr>
      </w:pPr>
      <w:r>
        <w:rPr>
          <w:rFonts w:ascii="Arial" w:cs="Arial" w:eastAsia="Arial" w:hAnsi="Arial"/>
          <w:sz w:val="18"/>
          <w:szCs w:val="18"/>
          <w:color w:val="auto"/>
        </w:rPr>
        <w:t>The Investment Law provides tax benefits for Israeli companies meeting certain requirements and criteria. The Investment Law has undergone certain amendments and reforms in recent years.</w:t>
      </w:r>
    </w:p>
    <w:p>
      <w:pPr>
        <w:spacing w:after="0" w:line="62" w:lineRule="exact"/>
        <w:rPr>
          <w:rFonts w:ascii="Arial" w:cs="Arial" w:eastAsia="Arial" w:hAnsi="Arial"/>
          <w:sz w:val="18"/>
          <w:szCs w:val="18"/>
          <w:color w:val="auto"/>
        </w:rPr>
      </w:pPr>
    </w:p>
    <w:p>
      <w:pPr>
        <w:jc w:val="both"/>
        <w:ind w:left="2320"/>
        <w:spacing w:after="0" w:line="259" w:lineRule="auto"/>
        <w:rPr>
          <w:rFonts w:ascii="Arial" w:cs="Arial" w:eastAsia="Arial" w:hAnsi="Arial"/>
          <w:sz w:val="18"/>
          <w:szCs w:val="18"/>
          <w:color w:val="auto"/>
        </w:rPr>
      </w:pPr>
      <w:r>
        <w:rPr>
          <w:rFonts w:ascii="Arial" w:cs="Arial" w:eastAsia="Arial" w:hAnsi="Arial"/>
          <w:sz w:val="18"/>
          <w:szCs w:val="18"/>
          <w:color w:val="auto"/>
        </w:rPr>
        <w:t>The Israeli parliament enacted a reform to the Investment Law, effective January 2011. According to the reform, a flat rate tax applies to companies eligible for the “Preferred Enterprise” status. In order to be eligible for Preferred Enterprise status, a company must meet minimum requirements to establish that it contributes to the country’s economic growth and is a competitive factor for the gross domestic product.</w:t>
      </w:r>
    </w:p>
    <w:p>
      <w:pPr>
        <w:spacing w:after="0" w:line="78" w:lineRule="exact"/>
        <w:rPr>
          <w:rFonts w:ascii="Arial" w:cs="Arial" w:eastAsia="Arial" w:hAnsi="Arial"/>
          <w:sz w:val="18"/>
          <w:szCs w:val="18"/>
          <w:color w:val="auto"/>
        </w:rPr>
      </w:pPr>
    </w:p>
    <w:p>
      <w:pPr>
        <w:jc w:val="both"/>
        <w:ind w:left="2320" w:right="20"/>
        <w:spacing w:after="0" w:line="296" w:lineRule="auto"/>
        <w:rPr>
          <w:rFonts w:ascii="Arial" w:cs="Arial" w:eastAsia="Arial" w:hAnsi="Arial"/>
          <w:sz w:val="18"/>
          <w:szCs w:val="18"/>
          <w:color w:val="auto"/>
        </w:rPr>
      </w:pPr>
      <w:r>
        <w:rPr>
          <w:rFonts w:ascii="Arial" w:cs="Arial" w:eastAsia="Arial" w:hAnsi="Arial"/>
          <w:sz w:val="16"/>
          <w:szCs w:val="16"/>
          <w:color w:val="auto"/>
        </w:rPr>
        <w:t>On December 22, 2016 the Knesset plenum passed the Economic Efficiency Law (Legislative Amendments for Achieving Budget Objectives in the Years 2017 and 2018) – 2016, by which the Encouragement Law was also amended (hereinafter: “the Amendment”). The Amendment added new tax benefit tracks for a “preferred technological enterprise” and a “special preferred technological enterprise” that awards reduced tax rates to a technological industrial enterprise for the purpose of encouraging activity relating to the development of qualifying intangible assets.</w:t>
      </w:r>
    </w:p>
    <w:p>
      <w:pPr>
        <w:spacing w:after="0" w:line="53" w:lineRule="exact"/>
        <w:rPr>
          <w:rFonts w:ascii="Arial" w:cs="Arial" w:eastAsia="Arial" w:hAnsi="Arial"/>
          <w:sz w:val="18"/>
          <w:szCs w:val="18"/>
          <w:color w:val="auto"/>
        </w:rPr>
      </w:pPr>
    </w:p>
    <w:p>
      <w:pPr>
        <w:jc w:val="both"/>
        <w:ind w:left="2320" w:right="20"/>
        <w:spacing w:after="0" w:line="263" w:lineRule="auto"/>
        <w:rPr>
          <w:rFonts w:ascii="Arial" w:cs="Arial" w:eastAsia="Arial" w:hAnsi="Arial"/>
          <w:sz w:val="18"/>
          <w:szCs w:val="18"/>
          <w:color w:val="auto"/>
        </w:rPr>
      </w:pPr>
      <w:r>
        <w:rPr>
          <w:rFonts w:ascii="Arial" w:cs="Arial" w:eastAsia="Arial" w:hAnsi="Arial"/>
          <w:sz w:val="18"/>
          <w:szCs w:val="18"/>
          <w:color w:val="auto"/>
        </w:rPr>
        <w:t>Preferred technological income that meets the conditions required in the law, will be subject to a reduced corporate tax rate of 12%, and if the preferred technological enterprise is located in Development Area A to a tax rate of 7.5%. The Amendment is effective as from January 1, 2017.</w:t>
      </w:r>
    </w:p>
    <w:p>
      <w:pPr>
        <w:spacing w:after="0" w:line="75" w:lineRule="exact"/>
        <w:rPr>
          <w:rFonts w:ascii="Arial" w:cs="Arial" w:eastAsia="Arial" w:hAnsi="Arial"/>
          <w:sz w:val="18"/>
          <w:szCs w:val="18"/>
          <w:color w:val="auto"/>
        </w:rPr>
      </w:pPr>
    </w:p>
    <w:p>
      <w:pPr>
        <w:jc w:val="both"/>
        <w:ind w:left="2320"/>
        <w:spacing w:after="0" w:line="286" w:lineRule="auto"/>
        <w:rPr>
          <w:rFonts w:ascii="Arial" w:cs="Arial" w:eastAsia="Arial" w:hAnsi="Arial"/>
          <w:sz w:val="18"/>
          <w:szCs w:val="18"/>
          <w:color w:val="auto"/>
        </w:rPr>
      </w:pPr>
      <w:r>
        <w:rPr>
          <w:rFonts w:ascii="Arial" w:cs="Arial" w:eastAsia="Arial" w:hAnsi="Arial"/>
          <w:sz w:val="17"/>
          <w:szCs w:val="17"/>
          <w:color w:val="auto"/>
        </w:rPr>
        <w:t>The Amendment also provides that no tax will apply to a dividend distributed out of preferred income to a shareholder that is an Israeli resident company. A tax rate of 20% shall apply to a dividend distributed out of preferred income to an individual shareholder or foreign resident, subject to double taxation prevention treaties.</w:t>
      </w:r>
    </w:p>
    <w:p>
      <w:pPr>
        <w:spacing w:after="0" w:line="57" w:lineRule="exact"/>
        <w:rPr>
          <w:rFonts w:ascii="Arial" w:cs="Arial" w:eastAsia="Arial" w:hAnsi="Arial"/>
          <w:sz w:val="18"/>
          <w:szCs w:val="18"/>
          <w:color w:val="auto"/>
        </w:rPr>
      </w:pPr>
    </w:p>
    <w:p>
      <w:pPr>
        <w:jc w:val="both"/>
        <w:ind w:left="2320" w:right="20"/>
        <w:spacing w:after="0" w:line="257" w:lineRule="auto"/>
        <w:rPr>
          <w:rFonts w:ascii="Arial" w:cs="Arial" w:eastAsia="Arial" w:hAnsi="Arial"/>
          <w:sz w:val="18"/>
          <w:szCs w:val="18"/>
          <w:color w:val="auto"/>
        </w:rPr>
      </w:pPr>
      <w:r>
        <w:rPr>
          <w:rFonts w:ascii="Arial" w:cs="Arial" w:eastAsia="Arial" w:hAnsi="Arial"/>
          <w:sz w:val="18"/>
          <w:szCs w:val="18"/>
          <w:color w:val="auto"/>
        </w:rPr>
        <w:t>On May 16, 2017 the Knesset Finance Committee approved Encouragement of Capital Investment Regulations (Preferred Technological Income and Capital Gain of Technological Enterprise) – 2017 (hereinafter: “the Regulations”), which provides rules for applying the “preferred technological enterprise” and “special preferred technological enterprise” tax benefit tracks including the Nexus formula that provides the mechanism for allocating the technological income eligible for the benefits.</w:t>
      </w:r>
    </w:p>
    <w:p>
      <w:pPr>
        <w:spacing w:after="0" w:line="79"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In June 2016, Taptica, a wholly owned subsidiary, appealed for a tax ruling to apply “the preferred enterprise” track, which was obtained on April 2017 and will be apply for the years 2016-2020.</w:t>
      </w:r>
    </w:p>
    <w:p>
      <w:pPr>
        <w:spacing w:after="0" w:line="62" w:lineRule="exact"/>
        <w:rPr>
          <w:rFonts w:ascii="Arial" w:cs="Arial" w:eastAsia="Arial" w:hAnsi="Arial"/>
          <w:sz w:val="18"/>
          <w:szCs w:val="18"/>
          <w:color w:val="auto"/>
        </w:rPr>
      </w:pPr>
    </w:p>
    <w:p>
      <w:pPr>
        <w:jc w:val="both"/>
        <w:ind w:left="2320"/>
        <w:spacing w:after="0" w:line="270" w:lineRule="auto"/>
        <w:rPr>
          <w:rFonts w:ascii="Arial" w:cs="Arial" w:eastAsia="Arial" w:hAnsi="Arial"/>
          <w:sz w:val="18"/>
          <w:szCs w:val="18"/>
          <w:color w:val="auto"/>
        </w:rPr>
      </w:pPr>
      <w:r>
        <w:rPr>
          <w:rFonts w:ascii="Arial" w:cs="Arial" w:eastAsia="Arial" w:hAnsi="Arial"/>
          <w:sz w:val="17"/>
          <w:szCs w:val="17"/>
          <w:color w:val="auto"/>
        </w:rPr>
        <w:t>On 28 December 2016, Taptica Social, a wholly owned subsidiary, together with Taptica appealed for a tax ruling for a restructuring, whereby Taptica Social will be merged with and into Taptica in such a manner that Taptica Social will transfer to Taptica all its assets and liabilities for no consideration and thereafter will be liquidated. Accordingly, on 6 June 2017 the merger between the companies was approved by the Israeli Tax Authority and the effective merge date was determined as December 31 2016. As a result of the merger, the ruling previously obtained by Taptica regarding the preferred income required re- validation from the Israeli tax authority. Therefore Taptica appealed and received on December 2018 re-validation from the Israeli tax authority for the ruling which determines that Taptica owns an industrial enterprise and Preferred Technological Enterprise as defined in the Law for the Encouragement of Capital Investments – 1959. In addition, as 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INCOME TAX (Cont.)</w:t>
      </w:r>
    </w:p>
    <w:p>
      <w:pPr>
        <w:spacing w:after="0" w:line="135" w:lineRule="exact"/>
        <w:rPr>
          <w:sz w:val="20"/>
          <w:szCs w:val="20"/>
          <w:color w:val="auto"/>
        </w:rPr>
      </w:pPr>
    </w:p>
    <w:p>
      <w:pPr>
        <w:jc w:val="both"/>
        <w:ind w:left="2320" w:right="20"/>
        <w:spacing w:after="0" w:line="311" w:lineRule="auto"/>
        <w:rPr>
          <w:sz w:val="20"/>
          <w:szCs w:val="20"/>
          <w:color w:val="auto"/>
        </w:rPr>
      </w:pPr>
      <w:r>
        <w:rPr>
          <w:rFonts w:ascii="Arial" w:cs="Arial" w:eastAsia="Arial" w:hAnsi="Arial"/>
          <w:sz w:val="16"/>
          <w:szCs w:val="16"/>
          <w:color w:val="auto"/>
        </w:rPr>
        <w:t>part of the re-validation of the ruling, Taptica also obtained an amendment that includes the acquisition and absorption of Tremor’s operation in the rulings and apply the Law for the Encouragement of Capital Investments to this purchased activity as well. The tax rulings which was obtained on December 2018 will apply for the years 2017-2021.</w:t>
      </w:r>
    </w:p>
    <w:p>
      <w:pPr>
        <w:spacing w:after="0" w:line="41" w:lineRule="exact"/>
        <w:rPr>
          <w:sz w:val="20"/>
          <w:szCs w:val="20"/>
          <w:color w:val="auto"/>
        </w:rPr>
      </w:pPr>
    </w:p>
    <w:p>
      <w:pPr>
        <w:jc w:val="both"/>
        <w:ind w:left="2320" w:right="20"/>
        <w:spacing w:after="0" w:line="272" w:lineRule="auto"/>
        <w:rPr>
          <w:sz w:val="20"/>
          <w:szCs w:val="20"/>
          <w:color w:val="auto"/>
        </w:rPr>
      </w:pPr>
      <w:r>
        <w:rPr>
          <w:rFonts w:ascii="Arial" w:cs="Arial" w:eastAsia="Arial" w:hAnsi="Arial"/>
          <w:sz w:val="17"/>
          <w:szCs w:val="17"/>
          <w:color w:val="auto"/>
        </w:rPr>
        <w:t>On December 3, 2018, the Company together with Taptica submitted a request to the Israeli tax authorities for a tax ruling regarding to restructuring, whereby Taptica will be merged with and into the Company in such a manner that Taptica will transfer to the Company all its assets and liabilities for no consideration and thereafter will be liquidated. As of May 08, 2019, the merger between the companies approved by the Israeli Tax Authority and the effective merge date was determined as December 31, 2018. Following the approval of the restructuring, the tax ruling regarding Taptica owns an industrial enterprise and preferred technological enterprise which was obtained on December 2018 will apply on the merged Company for the years 2017-2021 with relative agreed changes.</w:t>
      </w:r>
    </w:p>
    <w:p>
      <w:pPr>
        <w:spacing w:after="0" w:line="322" w:lineRule="exact"/>
        <w:rPr>
          <w:sz w:val="20"/>
          <w:szCs w:val="20"/>
          <w:color w:val="auto"/>
        </w:rPr>
      </w:pPr>
    </w:p>
    <w:p>
      <w:pPr>
        <w:ind w:left="1740" w:hanging="423"/>
        <w:spacing w:after="0"/>
        <w:tabs>
          <w:tab w:leader="none" w:pos="17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Details regarding the tax environment of the non-Israeli companies:</w:t>
      </w:r>
    </w:p>
    <w:p>
      <w:pPr>
        <w:spacing w:after="0" w:line="121" w:lineRule="exact"/>
        <w:rPr>
          <w:rFonts w:ascii="Arial" w:cs="Arial" w:eastAsia="Arial" w:hAnsi="Arial"/>
          <w:sz w:val="18"/>
          <w:szCs w:val="18"/>
          <w:b w:val="1"/>
          <w:bCs w:val="1"/>
          <w:color w:val="auto"/>
        </w:rPr>
      </w:pPr>
    </w:p>
    <w:p>
      <w:pPr>
        <w:ind w:lef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Non Israeli subsidiaries are taxed according to the tax laws in their countries of residence as reported in their statutory financial statement prepared under local accounting regulations.</w:t>
      </w:r>
    </w:p>
    <w:p>
      <w:pPr>
        <w:spacing w:after="0" w:line="318"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US</w:t>
      </w:r>
    </w:p>
    <w:p>
      <w:pPr>
        <w:spacing w:after="0" w:line="117" w:lineRule="exact"/>
        <w:rPr>
          <w:rFonts w:ascii="Arial" w:cs="Arial" w:eastAsia="Arial" w:hAnsi="Arial"/>
          <w:sz w:val="18"/>
          <w:szCs w:val="18"/>
          <w:color w:val="auto"/>
        </w:rPr>
      </w:pPr>
    </w:p>
    <w:p>
      <w:pPr>
        <w:jc w:val="both"/>
        <w:ind w:left="2320"/>
        <w:spacing w:after="0" w:line="263" w:lineRule="auto"/>
        <w:rPr>
          <w:rFonts w:ascii="Arial" w:cs="Arial" w:eastAsia="Arial" w:hAnsi="Arial"/>
          <w:sz w:val="18"/>
          <w:szCs w:val="18"/>
          <w:color w:val="auto"/>
        </w:rPr>
      </w:pPr>
      <w:r>
        <w:rPr>
          <w:rFonts w:ascii="Arial" w:cs="Arial" w:eastAsia="Arial" w:hAnsi="Arial"/>
          <w:sz w:val="18"/>
          <w:szCs w:val="18"/>
          <w:color w:val="auto"/>
        </w:rPr>
        <w:t>As of the acquisition date of RhythmOne, RhythmOne had U.S. federal net operating loss carryforwards, or NOLs, of approximately USD 100.8 million as for the acquisition date, which will expire starting 2038. As of December 31, 2020 the NOLs are approximately USD 102 million.</w:t>
      </w:r>
    </w:p>
    <w:p>
      <w:pPr>
        <w:spacing w:after="0" w:line="75" w:lineRule="exact"/>
        <w:rPr>
          <w:rFonts w:ascii="Arial" w:cs="Arial" w:eastAsia="Arial" w:hAnsi="Arial"/>
          <w:sz w:val="18"/>
          <w:szCs w:val="18"/>
          <w:color w:val="auto"/>
        </w:rPr>
      </w:pPr>
    </w:p>
    <w:p>
      <w:pPr>
        <w:jc w:val="both"/>
        <w:ind w:left="2320"/>
        <w:spacing w:after="0" w:line="293" w:lineRule="auto"/>
        <w:rPr>
          <w:rFonts w:ascii="Arial" w:cs="Arial" w:eastAsia="Arial" w:hAnsi="Arial"/>
          <w:sz w:val="18"/>
          <w:szCs w:val="18"/>
          <w:color w:val="auto"/>
        </w:rPr>
      </w:pPr>
      <w:r>
        <w:rPr>
          <w:rFonts w:ascii="Arial" w:cs="Arial" w:eastAsia="Arial" w:hAnsi="Arial"/>
          <w:sz w:val="16"/>
          <w:szCs w:val="16"/>
          <w:color w:val="auto"/>
        </w:rPr>
        <w:t>Additionally, for tax years beginning after December 31, 2017, the Tax Cuts and Jobs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 It should be noted that the Coronavirus Aid, Relief and Economic Security (“CARES”) Act suspended the 80% limitation for tax years 2018, 2019 and 2020 and allowed for a 5 year carryback for NOLs for tax years beginning after December 31, 2017 and before January 1, 2021.</w:t>
      </w:r>
    </w:p>
    <w:p>
      <w:pPr>
        <w:spacing w:after="0" w:line="56" w:lineRule="exact"/>
        <w:rPr>
          <w:rFonts w:ascii="Arial" w:cs="Arial" w:eastAsia="Arial" w:hAnsi="Arial"/>
          <w:sz w:val="18"/>
          <w:szCs w:val="18"/>
          <w:color w:val="auto"/>
        </w:rPr>
      </w:pPr>
    </w:p>
    <w:p>
      <w:pPr>
        <w:jc w:val="both"/>
        <w:ind w:left="2320" w:right="20"/>
        <w:spacing w:after="0" w:line="301" w:lineRule="auto"/>
        <w:rPr>
          <w:rFonts w:ascii="Arial" w:cs="Arial" w:eastAsia="Arial" w:hAnsi="Arial"/>
          <w:sz w:val="18"/>
          <w:szCs w:val="18"/>
          <w:color w:val="auto"/>
        </w:rPr>
      </w:pPr>
      <w:r>
        <w:rPr>
          <w:rFonts w:ascii="Arial" w:cs="Arial" w:eastAsia="Arial" w:hAnsi="Arial"/>
          <w:sz w:val="16"/>
          <w:szCs w:val="16"/>
          <w:color w:val="auto"/>
        </w:rPr>
        <w:t>Pursuant to Section 382 of the Internal Revenue Code, RhythmOne underwent ownership changes for tax purposes (i.e. a more than 50% change in stock ownership in aggregated 5% shareholders) on April 2, 2019. As a result, the use of the Company’s total US NOL carryforwards and tax credits generated prior to the ownership change will be subject to annual use limitations under Section 382 and may under section 383 of the Code and comparable state income tax laws.</w:t>
      </w:r>
    </w:p>
    <w:p>
      <w:pPr>
        <w:spacing w:after="0" w:line="305" w:lineRule="exact"/>
        <w:rPr>
          <w:rFonts w:ascii="Arial" w:cs="Arial" w:eastAsia="Arial" w:hAnsi="Arial"/>
          <w:sz w:val="18"/>
          <w:szCs w:val="18"/>
          <w:color w:val="auto"/>
        </w:rPr>
      </w:pPr>
    </w:p>
    <w:p>
      <w:pPr>
        <w:ind w:left="2300" w:hanging="537"/>
        <w:spacing w:after="0"/>
        <w:tabs>
          <w:tab w:leader="none" w:pos="2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International</w:t>
      </w:r>
    </w:p>
    <w:p>
      <w:pPr>
        <w:spacing w:after="0" w:line="117" w:lineRule="exact"/>
        <w:rPr>
          <w:rFonts w:ascii="Arial" w:cs="Arial" w:eastAsia="Arial" w:hAnsi="Arial"/>
          <w:sz w:val="18"/>
          <w:szCs w:val="18"/>
          <w:color w:val="auto"/>
        </w:rPr>
      </w:pPr>
    </w:p>
    <w:p>
      <w:pPr>
        <w:ind w:left="2320" w:right="20"/>
        <w:spacing w:after="0" w:line="277" w:lineRule="auto"/>
        <w:rPr>
          <w:rFonts w:ascii="Arial" w:cs="Arial" w:eastAsia="Arial" w:hAnsi="Arial"/>
          <w:sz w:val="18"/>
          <w:szCs w:val="18"/>
          <w:color w:val="auto"/>
        </w:rPr>
      </w:pPr>
      <w:r>
        <w:rPr>
          <w:rFonts w:ascii="Arial" w:cs="Arial" w:eastAsia="Arial" w:hAnsi="Arial"/>
          <w:sz w:val="18"/>
          <w:szCs w:val="18"/>
          <w:color w:val="auto"/>
        </w:rPr>
        <w:t>As of the acquisition date of Unruly, Unruly had an International NOLs of approximately USD 24 million. As of December 31, 2020 the NOLs are approximately USD 10.8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060" w:type="dxa"/>
            <w:vAlign w:val="bottom"/>
            <w:gridSpan w:val="3"/>
          </w:tcPr>
          <w:p>
            <w:pPr>
              <w:ind w:left="260"/>
              <w:spacing w:after="0"/>
              <w:rPr>
                <w:sz w:val="20"/>
                <w:szCs w:val="20"/>
                <w:color w:val="auto"/>
              </w:rPr>
            </w:pPr>
            <w:r>
              <w:rPr>
                <w:rFonts w:ascii="Arial" w:cs="Arial" w:eastAsia="Arial" w:hAnsi="Arial"/>
                <w:sz w:val="18"/>
                <w:szCs w:val="18"/>
                <w:b w:val="1"/>
                <w:bCs w:val="1"/>
                <w:color w:val="auto"/>
              </w:rPr>
              <w:t>INCOME TAX (Cont.)</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8"/>
        </w:trPr>
        <w:tc>
          <w:tcPr>
            <w:tcW w:w="94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b w:val="1"/>
                <w:bCs w:val="1"/>
                <w:color w:val="auto"/>
              </w:rPr>
              <w:t>c.</w:t>
            </w:r>
          </w:p>
        </w:tc>
        <w:tc>
          <w:tcPr>
            <w:tcW w:w="6520" w:type="dxa"/>
            <w:vAlign w:val="bottom"/>
          </w:tcPr>
          <w:p>
            <w:pPr>
              <w:ind w:left="140"/>
              <w:spacing w:after="0"/>
              <w:rPr>
                <w:sz w:val="20"/>
                <w:szCs w:val="20"/>
                <w:color w:val="auto"/>
              </w:rPr>
            </w:pPr>
            <w:r>
              <w:rPr>
                <w:rFonts w:ascii="Arial" w:cs="Arial" w:eastAsia="Arial" w:hAnsi="Arial"/>
                <w:sz w:val="18"/>
                <w:szCs w:val="18"/>
                <w:b w:val="1"/>
                <w:bCs w:val="1"/>
                <w:color w:val="auto"/>
              </w:rPr>
              <w:t>Composition of income tax expense: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r>
      <w:tr>
        <w:trPr>
          <w:trHeight w:val="171"/>
        </w:trPr>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r>
      <w:tr>
        <w:trPr>
          <w:trHeight w:val="142"/>
        </w:trPr>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USD thousands</w:t>
            </w:r>
          </w:p>
        </w:tc>
        <w:tc>
          <w:tcPr>
            <w:tcW w:w="120" w:type="dxa"/>
            <w:vAlign w:val="bottom"/>
            <w:tcBorders>
              <w:bottom w:val="single" w:sz="8" w:color="CCEEFF"/>
            </w:tcBorders>
          </w:tcPr>
          <w:p>
            <w:pPr>
              <w:spacing w:after="0"/>
              <w:rPr>
                <w:sz w:val="12"/>
                <w:szCs w:val="12"/>
                <w:color w:val="auto"/>
              </w:rPr>
            </w:pPr>
          </w:p>
        </w:tc>
      </w:tr>
      <w:tr>
        <w:trPr>
          <w:trHeight w:val="210"/>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tax expense</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Current year</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3,022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4,571</w:t>
            </w: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(income)</w:t>
            </w: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Creation and reversal of temporary differences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(12,603)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(7,207)</w:t>
            </w:r>
          </w:p>
        </w:tc>
      </w:tr>
      <w:tr>
        <w:trPr>
          <w:trHeight w:val="27"/>
        </w:trPr>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Tax benefit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(9,581)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(2,636)</w:t>
            </w:r>
          </w:p>
        </w:tc>
      </w:tr>
      <w:tr>
        <w:trPr>
          <w:trHeight w:val="20"/>
        </w:trPr>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following are the domestic and foreign components of the Company’s income taxes (in thousands):</w:t>
      </w:r>
    </w:p>
    <w:p>
      <w:pPr>
        <w:spacing w:after="0" w:line="244"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Year ended</w:t>
      </w:r>
    </w:p>
    <w:p>
      <w:pPr>
        <w:jc w:val="center"/>
        <w:ind w:left="66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center"/>
              <w:ind w:left="278"/>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480" w:type="dxa"/>
            <w:vAlign w:val="bottom"/>
            <w:gridSpan w:val="8"/>
          </w:tcPr>
          <w:p>
            <w:pPr>
              <w:jc w:val="right"/>
              <w:ind w:right="170"/>
              <w:spacing w:after="0" w:line="142" w:lineRule="exact"/>
              <w:rPr>
                <w:sz w:val="20"/>
                <w:szCs w:val="20"/>
                <w:color w:val="auto"/>
              </w:rPr>
            </w:pPr>
            <w:r>
              <w:rPr>
                <w:rFonts w:ascii="Arial" w:cs="Arial" w:eastAsia="Arial" w:hAnsi="Arial"/>
                <w:sz w:val="14"/>
                <w:szCs w:val="14"/>
                <w:b w:val="1"/>
                <w:bCs w:val="1"/>
                <w:color w:val="auto"/>
              </w:rPr>
              <w:t>USD thousands</w:t>
            </w:r>
          </w:p>
        </w:tc>
        <w:tc>
          <w:tcPr>
            <w:tcW w:w="4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6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1,661</w:t>
            </w: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(639)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US</w:t>
            </w:r>
          </w:p>
        </w:tc>
        <w:tc>
          <w:tcPr>
            <w:tcW w:w="65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(5,646)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(416)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(5,596)</w:t>
            </w: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(1,581)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Tax Benefit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(9,581)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(2,636)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d.</w:t>
            </w:r>
          </w:p>
        </w:tc>
        <w:tc>
          <w:tcPr>
            <w:tcW w:w="65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89"/>
              </w:rPr>
              <w:t>Reconciliation between the theoretical tax on the pre-tax profit and the tax expense:</w:t>
            </w: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65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4"/>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7"/>
          </w:tcPr>
          <w:p>
            <w:pPr>
              <w:jc w:val="center"/>
              <w:ind w:right="90"/>
              <w:spacing w:after="0" w:line="142" w:lineRule="exact"/>
              <w:rPr>
                <w:sz w:val="20"/>
                <w:szCs w:val="20"/>
                <w:color w:val="auto"/>
              </w:rPr>
            </w:pPr>
            <w:r>
              <w:rPr>
                <w:rFonts w:ascii="Arial" w:cs="Arial" w:eastAsia="Arial" w:hAnsi="Arial"/>
                <w:sz w:val="14"/>
                <w:szCs w:val="14"/>
                <w:b w:val="1"/>
                <w:bCs w:val="1"/>
                <w:color w:val="auto"/>
                <w:w w:val="92"/>
              </w:rPr>
              <w:t>USD thousands</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Profit (Loss) before taxes on income</w:t>
            </w:r>
          </w:p>
        </w:tc>
        <w:tc>
          <w:tcPr>
            <w:tcW w:w="4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8"/>
              </w:rPr>
              <w:t>(7,442)</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00" w:type="dxa"/>
            <w:vAlign w:val="bottom"/>
            <w:gridSpan w:val="4"/>
          </w:tcPr>
          <w:p>
            <w:pPr>
              <w:spacing w:after="0"/>
              <w:rPr>
                <w:sz w:val="20"/>
                <w:szCs w:val="20"/>
                <w:color w:val="auto"/>
              </w:rPr>
            </w:pPr>
            <w:r>
              <w:rPr>
                <w:rFonts w:ascii="Arial" w:cs="Arial" w:eastAsia="Arial" w:hAnsi="Arial"/>
                <w:sz w:val="18"/>
                <w:szCs w:val="18"/>
                <w:color w:val="auto"/>
              </w:rPr>
              <w:t>Primary tax rate of the Company</w:t>
            </w:r>
          </w:p>
        </w:tc>
        <w:tc>
          <w:tcPr>
            <w:tcW w:w="480" w:type="dxa"/>
            <w:vAlign w:val="bottom"/>
          </w:tcPr>
          <w:p>
            <w:pPr>
              <w:spacing w:after="0"/>
              <w:rPr>
                <w:sz w:val="19"/>
                <w:szCs w:val="19"/>
                <w:color w:val="auto"/>
              </w:rPr>
            </w:pPr>
          </w:p>
        </w:tc>
        <w:tc>
          <w:tcPr>
            <w:tcW w:w="54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18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gridSpan w:val="4"/>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calculated according to the Company’s primary tax rate</w:t>
            </w:r>
          </w:p>
        </w:tc>
        <w:tc>
          <w:tcPr>
            <w:tcW w:w="11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(1,712)</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00" w:type="dxa"/>
            <w:vAlign w:val="bottom"/>
            <w:gridSpan w:val="4"/>
          </w:tcPr>
          <w:p>
            <w:pPr>
              <w:spacing w:after="0"/>
              <w:rPr>
                <w:sz w:val="20"/>
                <w:szCs w:val="20"/>
                <w:color w:val="auto"/>
              </w:rPr>
            </w:pPr>
            <w:r>
              <w:rPr>
                <w:rFonts w:ascii="Arial" w:cs="Arial" w:eastAsia="Arial" w:hAnsi="Arial"/>
                <w:sz w:val="18"/>
                <w:szCs w:val="18"/>
                <w:color w:val="auto"/>
              </w:rPr>
              <w:t>Additional tax (tax saving) in respect of:</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Non-deductible expenses net of tax exempt income (*)</w:t>
            </w:r>
          </w:p>
        </w:tc>
        <w:tc>
          <w:tcPr>
            <w:tcW w:w="11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(2,509)</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w w:val="98"/>
              </w:rPr>
              <w:t>Effect of reduced tax rate on preferred income and differences in previous tax assessments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940" w:type="dxa"/>
            <w:vAlign w:val="bottom"/>
            <w:gridSpan w:val="5"/>
          </w:tcPr>
          <w:p>
            <w:pPr>
              <w:jc w:val="right"/>
              <w:ind w:right="8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Utilization of tax losses from prior years for which deferred taxes were not created</w:t>
            </w:r>
          </w:p>
        </w:tc>
        <w:tc>
          <w:tcPr>
            <w:tcW w:w="11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(5,887)</w:t>
            </w: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Effect on deferred taxes at a rate different from the primary tax rate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(768)</w:t>
            </w:r>
          </w:p>
        </w:tc>
        <w:tc>
          <w:tcPr>
            <w:tcW w:w="940" w:type="dxa"/>
            <w:vAlign w:val="bottom"/>
            <w:gridSpan w:val="5"/>
          </w:tcPr>
          <w:p>
            <w:pPr>
              <w:jc w:val="right"/>
              <w:ind w:right="8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Other differences</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benefit</w:t>
            </w:r>
          </w:p>
        </w:tc>
        <w:tc>
          <w:tcPr>
            <w:tcW w:w="4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8"/>
              </w:rPr>
              <w:t>(9,581)</w:t>
            </w: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color w:val="auto"/>
              </w:rPr>
              <w:t>Effective income tax rate</w:t>
            </w: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4"/>
            <w:vMerge w:val="continue"/>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w:t>
        <w:tab/>
        <w:t>including non- deductible share based payment expenses.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0260"/>
          </w:cols>
          <w:pgMar w:left="320" w:top="459" w:right="13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INCOME TAX (Cont.)</w:t>
      </w:r>
    </w:p>
    <w:p>
      <w:pPr>
        <w:spacing w:after="0" w:line="131" w:lineRule="exact"/>
        <w:rPr>
          <w:sz w:val="20"/>
          <w:szCs w:val="20"/>
          <w:color w:val="auto"/>
        </w:rPr>
      </w:pPr>
    </w:p>
    <w:p>
      <w:pPr>
        <w:ind w:left="1740" w:hanging="423"/>
        <w:spacing w:after="0"/>
        <w:tabs>
          <w:tab w:leader="none" w:pos="17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w:t>
      </w:r>
    </w:p>
    <w:p>
      <w:pPr>
        <w:spacing w:after="0" w:line="121" w:lineRule="exact"/>
        <w:rPr>
          <w:rFonts w:ascii="Arial" w:cs="Arial" w:eastAsia="Arial" w:hAnsi="Arial"/>
          <w:sz w:val="18"/>
          <w:szCs w:val="18"/>
          <w:b w:val="1"/>
          <w:bCs w:val="1"/>
          <w:color w:val="auto"/>
        </w:rPr>
      </w:pPr>
    </w:p>
    <w:p>
      <w:pPr>
        <w:ind w:lef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tax effects of temporary differences that give rise to significant portions of the deferred tax assets and liabilities are presented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Intangible</w:t>
            </w: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Employees</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Carryforward</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Accrued</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Doubtful</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Assets and</w:t>
            </w:r>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R&amp;D expenses</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Debt</w:t>
            </w:r>
          </w:p>
        </w:tc>
        <w:tc>
          <w:tcPr>
            <w:tcW w:w="8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USD thousands</w:t>
            </w: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of deferred tax asset (liability) as of</w:t>
            </w: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January 1, 2019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Business combinations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(20,720)</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8,000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3,729</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Changes recognized in profit or Loss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(2,689)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Effect of change in tax rate</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Changes recognized in shareholders’ equity</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5"/>
        </w:trPr>
        <w:tc>
          <w:tcPr>
            <w:tcW w:w="4220" w:type="dxa"/>
            <w:vAlign w:val="bottom"/>
          </w:tcPr>
          <w:p>
            <w:pPr>
              <w:spacing w:after="0" w:line="205" w:lineRule="exact"/>
              <w:rPr>
                <w:sz w:val="20"/>
                <w:szCs w:val="20"/>
                <w:color w:val="auto"/>
              </w:rPr>
            </w:pPr>
            <w:r>
              <w:rPr>
                <w:rFonts w:ascii="Arial" w:cs="Arial" w:eastAsia="Arial" w:hAnsi="Arial"/>
                <w:sz w:val="18"/>
                <w:szCs w:val="18"/>
                <w:b w:val="1"/>
                <w:bCs w:val="1"/>
                <w:color w:val="auto"/>
              </w:rPr>
              <w:t>Balance of deferred tax asset (liability) as of</w:t>
            </w: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December 31, 2019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(17,090)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3,684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8,435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2,483</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4,908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(2,501)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(4,409)</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Changes recognized in profit or Loss</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4,626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1,190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3,380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1,723</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(1,352)</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3,036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12,603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 in tax rate</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Changes recognized in shareholders’ equity</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4,280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160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of deferred tax asset (liability) as of</w:t>
            </w: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(17,035)</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9,239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14,145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4,456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3,724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1,225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15,754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760" w:right="20"/>
        <w:spacing w:after="0" w:line="277" w:lineRule="auto"/>
        <w:rPr>
          <w:sz w:val="20"/>
          <w:szCs w:val="20"/>
          <w:color w:val="auto"/>
        </w:rPr>
      </w:pPr>
      <w:r>
        <w:rPr>
          <w:rFonts w:ascii="Arial" w:cs="Arial" w:eastAsia="Arial" w:hAnsi="Arial"/>
          <w:sz w:val="18"/>
          <w:szCs w:val="18"/>
          <w:color w:val="auto"/>
        </w:rPr>
        <w:t>As of each reporting date, the Company’s management considers new evidence, both positive and negative, that could impact management’s view with regard to future realization of deferred tax assets.</w:t>
      </w:r>
    </w:p>
    <w:p>
      <w:pPr>
        <w:spacing w:after="0" w:line="62" w:lineRule="exact"/>
        <w:rPr>
          <w:sz w:val="20"/>
          <w:szCs w:val="20"/>
          <w:color w:val="auto"/>
        </w:rPr>
      </w:pPr>
    </w:p>
    <w:p>
      <w:pPr>
        <w:ind w:left="1760" w:right="20"/>
        <w:spacing w:after="0" w:line="342" w:lineRule="auto"/>
        <w:rPr>
          <w:sz w:val="20"/>
          <w:szCs w:val="20"/>
          <w:color w:val="auto"/>
        </w:rPr>
      </w:pPr>
      <w:r>
        <w:rPr>
          <w:rFonts w:ascii="Arial" w:cs="Arial" w:eastAsia="Arial" w:hAnsi="Arial"/>
          <w:sz w:val="16"/>
          <w:szCs w:val="16"/>
          <w:color w:val="auto"/>
        </w:rPr>
        <w:t>As of December 31, 2020 and 2019, the Company had gross unrecognized tax benefits of approximately USD 4,471 thousand and USD 3,946 thousand, respectively. The Company classifies liabilities for unrecognized tax benefits in Current tax liabilities.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4520" w:type="dxa"/>
            <w:vAlign w:val="bottom"/>
          </w:tcPr>
          <w:p>
            <w:pPr>
              <w:ind w:left="120"/>
              <w:spacing w:after="0"/>
              <w:rPr>
                <w:sz w:val="20"/>
                <w:szCs w:val="20"/>
                <w:color w:val="auto"/>
              </w:rPr>
            </w:pPr>
            <w:r>
              <w:rPr>
                <w:rFonts w:ascii="Arial" w:cs="Arial" w:eastAsia="Arial" w:hAnsi="Arial"/>
                <w:sz w:val="18"/>
                <w:szCs w:val="18"/>
                <w:b w:val="1"/>
                <w:bCs w:val="1"/>
                <w:color w:val="auto"/>
              </w:rPr>
              <w:t>FIXED ASSETS, NET</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1"/>
              </w:rPr>
              <w:t>Computers And</w:t>
            </w: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Office furniture</w:t>
            </w: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Leasehold</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Servers</w:t>
            </w: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and equipment</w:t>
            </w: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improvements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tcBorders>
              <w:bottom w:val="single" w:sz="8" w:color="CCEEFF"/>
            </w:tcBorders>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USD thousands</w:t>
            </w:r>
          </w:p>
        </w:tc>
        <w:tc>
          <w:tcPr>
            <w:tcW w:w="8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4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Balance as of January 1, 2019</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3,733</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605</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1,284</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Classification due to implementation of IFRS16</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(945)</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4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869</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Business combinations (See Note 19)</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2,023</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109</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271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4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2019</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6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6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6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60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Additions</w:t>
            </w:r>
          </w:p>
        </w:tc>
        <w:tc>
          <w:tcPr>
            <w:tcW w:w="45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1,768</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combinations (See Note 19)</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346</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411</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Disposals</w:t>
            </w:r>
          </w:p>
        </w:tc>
        <w:tc>
          <w:tcPr>
            <w:tcW w:w="452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7,683</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1,132</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1,870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10,685</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w w:val="97"/>
              </w:rPr>
              <w:t>Depreciation</w:t>
            </w:r>
          </w:p>
        </w:tc>
        <w:tc>
          <w:tcPr>
            <w:tcW w:w="4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1,912</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196</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color w:val="auto"/>
              </w:rPr>
              <w:t>Classification due to implementation of IFRS16</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(527)</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4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Additions</w:t>
            </w:r>
          </w:p>
        </w:tc>
        <w:tc>
          <w:tcPr>
            <w:tcW w:w="45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2,149</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185</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447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3,439</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380</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1,082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4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Additions</w:t>
            </w:r>
          </w:p>
        </w:tc>
        <w:tc>
          <w:tcPr>
            <w:tcW w:w="45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1,523</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472</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508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4,981</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823</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1,589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7,393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Carrying amounts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2,135</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344</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2020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2,702</w:t>
            </w:r>
          </w:p>
        </w:tc>
        <w:tc>
          <w:tcPr>
            <w:tcW w:w="6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6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6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45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LEASES</w:t>
            </w: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0" w:type="dxa"/>
            <w:vAlign w:val="bottom"/>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740" w:hanging="423"/>
        <w:spacing w:after="0"/>
        <w:tabs>
          <w:tab w:leader="none" w:pos="17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Leases in which the Group is the lessee:</w:t>
      </w:r>
    </w:p>
    <w:p>
      <w:pPr>
        <w:spacing w:after="0" w:line="121"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applies IFRS 16, Leases, as from January 1, 2019. The Group has lease agreements with respect to the following items:</w:t>
      </w:r>
    </w:p>
    <w:p>
      <w:pPr>
        <w:spacing w:after="0" w:line="75"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Offices;</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Data center;</w:t>
      </w:r>
    </w:p>
    <w:p>
      <w:pPr>
        <w:spacing w:after="0" w:line="374" w:lineRule="exact"/>
        <w:rPr>
          <w:sz w:val="20"/>
          <w:szCs w:val="20"/>
          <w:color w:val="auto"/>
        </w:rPr>
      </w:pPr>
    </w:p>
    <w:p>
      <w:pPr>
        <w:ind w:left="2300" w:hanging="537"/>
        <w:spacing w:after="0"/>
        <w:tabs>
          <w:tab w:leader="none" w:pos="2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Information regarding material lease agreements:</w:t>
      </w:r>
    </w:p>
    <w:p>
      <w:pPr>
        <w:spacing w:after="0" w:line="130" w:lineRule="exact"/>
        <w:rPr>
          <w:rFonts w:ascii="Arial" w:cs="Arial" w:eastAsia="Arial" w:hAnsi="Arial"/>
          <w:sz w:val="18"/>
          <w:szCs w:val="18"/>
          <w:color w:val="auto"/>
        </w:rPr>
      </w:pPr>
    </w:p>
    <w:p>
      <w:pPr>
        <w:ind w:left="2740" w:right="20" w:hanging="424"/>
        <w:spacing w:after="0" w:line="277" w:lineRule="auto"/>
        <w:tabs>
          <w:tab w:leader="none" w:pos="27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Group leases Offices mainly in the United States of America (US), Israel, Canada and UK with contractual original lease periods ends between the years 2021 and 2027</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LEASES (Cont.)</w:t>
      </w:r>
    </w:p>
    <w:p>
      <w:pPr>
        <w:spacing w:after="0" w:line="135" w:lineRule="exact"/>
        <w:rPr>
          <w:sz w:val="20"/>
          <w:szCs w:val="20"/>
          <w:color w:val="auto"/>
        </w:rPr>
      </w:pPr>
    </w:p>
    <w:p>
      <w:pPr>
        <w:jc w:val="both"/>
        <w:ind w:left="2740" w:right="20"/>
        <w:spacing w:after="0" w:line="277" w:lineRule="auto"/>
        <w:rPr>
          <w:sz w:val="20"/>
          <w:szCs w:val="20"/>
          <w:color w:val="auto"/>
        </w:rPr>
      </w:pPr>
      <w:r>
        <w:rPr>
          <w:rFonts w:ascii="Arial" w:cs="Arial" w:eastAsia="Arial" w:hAnsi="Arial"/>
          <w:sz w:val="18"/>
          <w:szCs w:val="18"/>
          <w:color w:val="auto"/>
        </w:rPr>
        <w:t>from several lessors. The Group did not assume renewals in determination of the lease term unless the renewals are deemed to be reasonably assured at lease commencement.</w:t>
      </w:r>
    </w:p>
    <w:p>
      <w:pPr>
        <w:spacing w:after="0" w:line="62" w:lineRule="exact"/>
        <w:rPr>
          <w:sz w:val="20"/>
          <w:szCs w:val="20"/>
          <w:color w:val="auto"/>
        </w:rPr>
      </w:pPr>
    </w:p>
    <w:p>
      <w:pPr>
        <w:jc w:val="both"/>
        <w:ind w:left="2760"/>
        <w:spacing w:after="0" w:line="286" w:lineRule="auto"/>
        <w:rPr>
          <w:sz w:val="20"/>
          <w:szCs w:val="20"/>
          <w:color w:val="auto"/>
        </w:rPr>
      </w:pPr>
      <w:r>
        <w:rPr>
          <w:rFonts w:ascii="Arial" w:cs="Arial" w:eastAsia="Arial" w:hAnsi="Arial"/>
          <w:sz w:val="17"/>
          <w:szCs w:val="17"/>
          <w:color w:val="auto"/>
        </w:rPr>
        <w:t>A lease liability and right-of-use asset in the amount of USD 16,121 thousand and USD 5,925 thousand, and USD 21,105 thousand and USD 13,155 thousand respectively, have been recognized in the statement of financial position as of December 31, 2020 and December 31, 2019 in respect of leases of offices.</w:t>
      </w:r>
    </w:p>
    <w:p>
      <w:pPr>
        <w:spacing w:after="0" w:line="71" w:lineRule="exact"/>
        <w:rPr>
          <w:sz w:val="20"/>
          <w:szCs w:val="20"/>
          <w:color w:val="auto"/>
        </w:rPr>
      </w:pPr>
    </w:p>
    <w:p>
      <w:pPr>
        <w:jc w:val="both"/>
        <w:ind w:left="2740" w:hanging="424"/>
        <w:spacing w:after="0" w:line="263" w:lineRule="auto"/>
        <w:tabs>
          <w:tab w:leader="none" w:pos="27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Group leases data center and related network infrastructure with contractual original lease periods ends between the years 2021 and 2023. The Group did not assume renewals in determination of the lease term unless the renewals are deemed to be reasonably assured at lease commencement.</w:t>
      </w:r>
    </w:p>
    <w:p>
      <w:pPr>
        <w:spacing w:after="0" w:line="75" w:lineRule="exact"/>
        <w:rPr>
          <w:rFonts w:ascii="Arial" w:cs="Arial" w:eastAsia="Arial" w:hAnsi="Arial"/>
          <w:sz w:val="18"/>
          <w:szCs w:val="18"/>
          <w:color w:val="auto"/>
        </w:rPr>
      </w:pPr>
    </w:p>
    <w:p>
      <w:pPr>
        <w:jc w:val="both"/>
        <w:ind w:left="2760"/>
        <w:spacing w:after="0" w:line="259" w:lineRule="auto"/>
        <w:rPr>
          <w:rFonts w:ascii="Arial" w:cs="Arial" w:eastAsia="Arial" w:hAnsi="Arial"/>
          <w:sz w:val="18"/>
          <w:szCs w:val="18"/>
          <w:color w:val="auto"/>
        </w:rPr>
      </w:pPr>
      <w:r>
        <w:rPr>
          <w:rFonts w:ascii="Arial" w:cs="Arial" w:eastAsia="Arial" w:hAnsi="Arial"/>
          <w:sz w:val="18"/>
          <w:szCs w:val="18"/>
          <w:color w:val="auto"/>
        </w:rPr>
        <w:t>A lease liability in the amount of USD 5,088 thousand and USD 3,164 thousand as of December 31, 2020 and December 31, 2019, respectively and right-of-use asset in the amount of USD 4,897 thousand and USD 3,560 thousand as of December 31, 2020 and December 31, 2019, respectively have been recognized in the statement of financial position in respect of data centers.</w:t>
      </w:r>
    </w:p>
    <w:p>
      <w:pPr>
        <w:sectPr>
          <w:pgSz w:w="11900" w:h="16838" w:orient="portrait"/>
          <w:cols w:equalWidth="0" w:num="1">
            <w:col w:w="11140"/>
          </w:cols>
          <w:pgMar w:left="320" w:top="459" w:right="439" w:bottom="1440" w:gutter="0" w:footer="0" w:header="0"/>
        </w:sectPr>
      </w:pPr>
    </w:p>
    <w:p>
      <w:pPr>
        <w:spacing w:after="0" w:line="335" w:lineRule="exact"/>
        <w:rPr>
          <w:sz w:val="20"/>
          <w:szCs w:val="20"/>
          <w:color w:val="auto"/>
        </w:rPr>
      </w:pPr>
    </w:p>
    <w:p>
      <w:pPr>
        <w:ind w:left="2300" w:hanging="537"/>
        <w:spacing w:after="0"/>
        <w:tabs>
          <w:tab w:leader="none" w:pos="2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Lease liability:</w:t>
      </w:r>
    </w:p>
    <w:p>
      <w:pPr>
        <w:spacing w:after="0" w:line="117"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6"/>
          <w:szCs w:val="16"/>
          <w:color w:val="auto"/>
        </w:rPr>
        <w:t>Maturity analysis of the Group’s lease liabilities: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Less than one year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One to five years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More than five years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6350</wp:posOffset>
            </wp:positionV>
            <wp:extent cx="9772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40"/>
        <w:spacing w:after="0"/>
        <w:tabs>
          <w:tab w:leader="none" w:pos="9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-3175</wp:posOffset>
            </wp:positionV>
            <wp:extent cx="9772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USD thousands</w:t>
      </w:r>
    </w:p>
    <w:p>
      <w:pPr>
        <w:spacing w:after="0" w:line="9"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5"/>
          <w:szCs w:val="15"/>
          <w:color w:val="auto"/>
        </w:rPr>
        <w:t>9,047</w:t>
      </w:r>
      <w:r>
        <w:rPr>
          <w:sz w:val="20"/>
          <w:szCs w:val="20"/>
          <w:color w:val="auto"/>
        </w:rPr>
        <w:tab/>
      </w:r>
      <w:r>
        <w:rPr>
          <w:rFonts w:ascii="Arial" w:cs="Arial" w:eastAsia="Arial" w:hAnsi="Arial"/>
          <w:sz w:val="15"/>
          <w:szCs w:val="15"/>
          <w:color w:val="auto"/>
        </w:rPr>
        <w:t>9,637</w:t>
      </w:r>
    </w:p>
    <w:p>
      <w:pPr>
        <w:spacing w:after="0" w:line="4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10,241</w:t>
      </w:r>
      <w:r>
        <w:rPr>
          <w:sz w:val="20"/>
          <w:szCs w:val="20"/>
          <w:color w:val="auto"/>
        </w:rPr>
        <w:tab/>
      </w:r>
      <w:r>
        <w:rPr>
          <w:rFonts w:ascii="Arial" w:cs="Arial" w:eastAsia="Arial" w:hAnsi="Arial"/>
          <w:sz w:val="16"/>
          <w:szCs w:val="16"/>
          <w:color w:val="auto"/>
        </w:rPr>
        <w:t>12,088</w:t>
      </w:r>
    </w:p>
    <w:p>
      <w:pPr>
        <w:spacing w:after="0" w:line="32"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5"/>
          <w:szCs w:val="15"/>
          <w:color w:val="auto"/>
        </w:rPr>
        <w:t>1,921</w:t>
      </w:r>
      <w:r>
        <w:rPr>
          <w:sz w:val="20"/>
          <w:szCs w:val="20"/>
          <w:color w:val="auto"/>
        </w:rPr>
        <w:tab/>
      </w:r>
      <w:r>
        <w:rPr>
          <w:rFonts w:ascii="Arial" w:cs="Arial" w:eastAsia="Arial" w:hAnsi="Arial"/>
          <w:sz w:val="15"/>
          <w:szCs w:val="15"/>
          <w:color w:val="auto"/>
        </w:rPr>
        <w:t>2,544</w:t>
      </w:r>
    </w:p>
    <w:p>
      <w:pPr>
        <w:spacing w:after="0" w:line="63" w:lineRule="exact"/>
        <w:rPr>
          <w:sz w:val="20"/>
          <w:szCs w:val="20"/>
          <w:color w:val="auto"/>
        </w:rPr>
      </w:pPr>
    </w:p>
    <w:p>
      <w:pPr>
        <w:sectPr>
          <w:pgSz w:w="11900" w:h="16838" w:orient="portrait"/>
          <w:cols w:equalWidth="0" w:num="2">
            <w:col w:w="7600" w:space="720"/>
            <w:col w:w="2820"/>
          </w:cols>
          <w:pgMar w:left="320" w:top="459" w:right="439" w:bottom="1440" w:gutter="0" w:footer="0" w:header="0"/>
          <w:type w:val="continuous"/>
        </w:sectPr>
      </w:pPr>
    </w:p>
    <w:tbl>
      <w:tblPr>
        <w:tblLayout w:type="fixed"/>
        <w:tblInd w:w="1440" w:type="dxa"/>
        <w:tblCellMar>
          <w:top w:w="0" w:type="dxa"/>
          <w:left w:w="0" w:type="dxa"/>
          <w:bottom w:w="0" w:type="dxa"/>
          <w:right w:w="0" w:type="dxa"/>
        </w:tblCellMar>
      </w:tblPr>
      <w:tr>
        <w:trPr>
          <w:trHeight w:val="20"/>
        </w:trPr>
        <w:tc>
          <w:tcPr>
            <w:tcW w:w="3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350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21,209</w:t>
            </w:r>
          </w:p>
        </w:tc>
        <w:tc>
          <w:tcPr>
            <w:tcW w:w="280" w:type="dxa"/>
            <w:vAlign w:val="bottom"/>
          </w:tcPr>
          <w:p>
            <w:pPr>
              <w:spacing w:after="0"/>
              <w:rPr>
                <w:sz w:val="17"/>
                <w:szCs w:val="17"/>
                <w:color w:val="auto"/>
              </w:rPr>
            </w:pPr>
          </w:p>
        </w:tc>
        <w:tc>
          <w:tcPr>
            <w:tcW w:w="7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24,269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lease liability</w:t>
            </w:r>
          </w:p>
        </w:tc>
        <w:tc>
          <w:tcPr>
            <w:tcW w:w="35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Long-term lease liability</w:t>
            </w:r>
          </w:p>
        </w:tc>
        <w:tc>
          <w:tcPr>
            <w:tcW w:w="3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tcPr>
          <w:p>
            <w:pPr>
              <w:spacing w:after="0"/>
              <w:rPr>
                <w:sz w:val="18"/>
                <w:szCs w:val="18"/>
                <w:color w:val="auto"/>
              </w:rPr>
            </w:pPr>
          </w:p>
        </w:tc>
        <w:tc>
          <w:tcPr>
            <w:tcW w:w="35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12,162</w:t>
            </w: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4120" w:type="dxa"/>
            <w:vAlign w:val="bottom"/>
            <w:gridSpan w:val="2"/>
          </w:tcPr>
          <w:p>
            <w:pPr>
              <w:jc w:val="right"/>
              <w:ind w:right="2930"/>
              <w:spacing w:after="0"/>
              <w:rPr>
                <w:sz w:val="20"/>
                <w:szCs w:val="20"/>
                <w:color w:val="auto"/>
              </w:rPr>
            </w:pPr>
            <w:r>
              <w:rPr>
                <w:rFonts w:ascii="Arial" w:cs="Arial" w:eastAsia="Arial" w:hAnsi="Arial"/>
                <w:sz w:val="18"/>
                <w:szCs w:val="18"/>
                <w:color w:val="auto"/>
              </w:rPr>
              <w:t>F-31</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LEASES (Cont.)</w:t>
      </w:r>
    </w:p>
    <w:p>
      <w:pPr>
        <w:spacing w:after="0" w:line="135" w:lineRule="exact"/>
        <w:rPr>
          <w:sz w:val="20"/>
          <w:szCs w:val="20"/>
          <w:color w:val="auto"/>
        </w:rPr>
      </w:pPr>
    </w:p>
    <w:p>
      <w:pPr>
        <w:ind w:left="2300" w:hanging="537"/>
        <w:spacing w:after="0"/>
        <w:tabs>
          <w:tab w:leader="none" w:pos="2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Right-of-use assets - Composition:</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Offices</w:t>
            </w:r>
          </w:p>
        </w:tc>
        <w:tc>
          <w:tcPr>
            <w:tcW w:w="144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Data center</w:t>
            </w:r>
          </w:p>
        </w:tc>
        <w:tc>
          <w:tcPr>
            <w:tcW w:w="80" w:type="dxa"/>
            <w:vAlign w:val="bottom"/>
          </w:tcPr>
          <w:p>
            <w:pPr>
              <w:spacing w:after="0"/>
              <w:rPr>
                <w:sz w:val="14"/>
                <w:szCs w:val="1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5"/>
          </w:tcPr>
          <w:p>
            <w:pPr>
              <w:jc w:val="right"/>
              <w:ind w:right="281"/>
              <w:spacing w:after="0" w:line="142" w:lineRule="exact"/>
              <w:rPr>
                <w:sz w:val="20"/>
                <w:szCs w:val="20"/>
                <w:color w:val="auto"/>
              </w:rPr>
            </w:pPr>
            <w:r>
              <w:rPr>
                <w:rFonts w:ascii="Arial" w:cs="Arial" w:eastAsia="Arial" w:hAnsi="Arial"/>
                <w:sz w:val="14"/>
                <w:szCs w:val="14"/>
                <w:b w:val="1"/>
                <w:bCs w:val="1"/>
                <w:color w:val="auto"/>
              </w:rPr>
              <w:t>USD thousands</w:t>
            </w: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Business combinations (See Note 19)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12,992</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11,924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24,916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on right-of-use assets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(5,644)</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(5,258)</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(10,902)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Additions</w:t>
            </w:r>
          </w:p>
        </w:tc>
        <w:tc>
          <w:tcPr>
            <w:tcW w:w="5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Impairment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(2,994)</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Lease modifications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(3,839)</w:t>
            </w:r>
          </w:p>
        </w:tc>
        <w:tc>
          <w:tcPr>
            <w:tcW w:w="30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5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8"/>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Balance as of December 31, 2019</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13,155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16,715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3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combinations (See Note 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Depreciation on right-of-use assets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(6,958)</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(4,422)</w:t>
            </w:r>
          </w:p>
        </w:tc>
        <w:tc>
          <w:tcPr>
            <w:tcW w:w="30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(11,380)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Provision for Impairment</w:t>
            </w:r>
          </w:p>
        </w:tc>
        <w:tc>
          <w:tcPr>
            <w:tcW w:w="540" w:type="dxa"/>
            <w:vAlign w:val="bottom"/>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modifications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Disposals</w:t>
            </w:r>
          </w:p>
        </w:tc>
        <w:tc>
          <w:tcPr>
            <w:tcW w:w="5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(4,570)</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Balance as of December 31,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w:t>
            </w:r>
          </w:p>
        </w:tc>
        <w:tc>
          <w:tcPr>
            <w:tcW w:w="5220" w:type="dxa"/>
            <w:vAlign w:val="bottom"/>
            <w:vMerge w:val="restart"/>
          </w:tcPr>
          <w:p>
            <w:pPr>
              <w:ind w:left="200"/>
              <w:spacing w:after="0"/>
              <w:rPr>
                <w:sz w:val="20"/>
                <w:szCs w:val="20"/>
                <w:color w:val="auto"/>
              </w:rPr>
            </w:pPr>
            <w:r>
              <w:rPr>
                <w:rFonts w:ascii="Arial" w:cs="Arial" w:eastAsia="Arial" w:hAnsi="Arial"/>
                <w:sz w:val="18"/>
                <w:szCs w:val="18"/>
                <w:color w:val="auto"/>
              </w:rPr>
              <w:t>Amounts recognized in statement of operation:</w:t>
            </w: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100" w:type="dxa"/>
            <w:vAlign w:val="bottom"/>
            <w:gridSpan w:val="2"/>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540" w:type="dxa"/>
            <w:vAlign w:val="bottom"/>
            <w:tcBorders>
              <w:top w:val="single" w:sz="8" w:color="auto"/>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2"/>
              </w:rPr>
              <w:t>USD thousands</w:t>
            </w:r>
          </w:p>
        </w:tc>
        <w:tc>
          <w:tcPr>
            <w:tcW w:w="1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expenses on lease liability</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w w:val="98"/>
              </w:rPr>
              <w:t>(1,117)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Depreciation and amortization of right-of-use assets, net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5"/>
          </w:tcPr>
          <w:p>
            <w:pPr>
              <w:jc w:val="right"/>
              <w:ind w:right="221"/>
              <w:spacing w:after="0"/>
              <w:rPr>
                <w:sz w:val="20"/>
                <w:szCs w:val="20"/>
                <w:color w:val="auto"/>
              </w:rPr>
            </w:pPr>
            <w:r>
              <w:rPr>
                <w:rFonts w:ascii="Arial" w:cs="Arial" w:eastAsia="Arial" w:hAnsi="Arial"/>
                <w:sz w:val="18"/>
                <w:szCs w:val="18"/>
                <w:color w:val="auto"/>
              </w:rPr>
              <w:t>(8,855)</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recognized in profit or loss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1,829</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(8,143</w:t>
            </w:r>
          </w:p>
        </w:tc>
        <w:tc>
          <w:tcPr>
            <w:tcW w:w="300" w:type="dxa"/>
            <w:vAlign w:val="bottom"/>
          </w:tcPr>
          <w:p>
            <w:pPr>
              <w:jc w:val="right"/>
              <w:ind w:right="221"/>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(8,139</w:t>
            </w:r>
          </w:p>
        </w:tc>
        <w:tc>
          <w:tcPr>
            <w:tcW w:w="120" w:type="dxa"/>
            <w:vAlign w:val="bottom"/>
            <w:gridSpan w:val="2"/>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300" w:hanging="537"/>
        <w:spacing w:after="0"/>
        <w:tabs>
          <w:tab w:leader="none" w:pos="2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Amounts recognized in the statement of cash flows:</w:t>
      </w:r>
    </w:p>
    <w:p>
      <w:pPr>
        <w:spacing w:after="0" w:line="24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-3175</wp:posOffset>
            </wp:positionV>
            <wp:extent cx="10458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ind w:left="8220"/>
        <w:spacing w:after="0"/>
        <w:tabs>
          <w:tab w:leader="none" w:pos="92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-3175</wp:posOffset>
            </wp:positionV>
            <wp:extent cx="10458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ind w:left="8400"/>
        <w:spacing w:after="0" w:line="232" w:lineRule="auto"/>
        <w:rPr>
          <w:sz w:val="20"/>
          <w:szCs w:val="20"/>
          <w:color w:val="auto"/>
        </w:rPr>
      </w:pPr>
      <w:r>
        <w:rPr>
          <w:rFonts w:ascii="Arial" w:cs="Arial" w:eastAsia="Arial" w:hAnsi="Arial"/>
          <w:sz w:val="14"/>
          <w:szCs w:val="14"/>
          <w:b w:val="1"/>
          <w:bCs w:val="1"/>
          <w:color w:val="auto"/>
        </w:rPr>
        <w:t>USD thousands</w:t>
      </w:r>
    </w:p>
    <w:p>
      <w:pPr>
        <w:spacing w:after="0" w:line="21" w:lineRule="exact"/>
        <w:rPr>
          <w:sz w:val="20"/>
          <w:szCs w:val="20"/>
          <w:color w:val="auto"/>
        </w:rPr>
      </w:pPr>
    </w:p>
    <w:tbl>
      <w:tblPr>
        <w:tblLayout w:type="fixed"/>
        <w:tblInd w:w="1440" w:type="dxa"/>
        <w:tblCellMar>
          <w:top w:w="0" w:type="dxa"/>
          <w:left w:w="0" w:type="dxa"/>
          <w:bottom w:w="0" w:type="dxa"/>
          <w:right w:w="0" w:type="dxa"/>
        </w:tblCellMar>
      </w:tblPr>
      <w:tr>
        <w:trPr>
          <w:trHeight w:val="20"/>
        </w:trPr>
        <w:tc>
          <w:tcPr>
            <w:tcW w:w="66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0"/>
        </w:trPr>
        <w:tc>
          <w:tcPr>
            <w:tcW w:w="6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outflow for leases</w:t>
            </w:r>
          </w:p>
        </w:tc>
        <w:tc>
          <w:tcPr>
            <w:tcW w:w="10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b w:val="1"/>
                <w:bCs w:val="1"/>
                <w:color w:val="auto"/>
              </w:rPr>
              <w:t>(14,468)</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b w:val="1"/>
                <w:bCs w:val="1"/>
                <w:color w:val="auto"/>
              </w:rPr>
              <w:t>(13,386)</w:t>
            </w:r>
          </w:p>
        </w:tc>
      </w:tr>
      <w:tr>
        <w:trPr>
          <w:trHeight w:val="20"/>
        </w:trPr>
        <w:tc>
          <w:tcPr>
            <w:tcW w:w="6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1740" w:hanging="423"/>
        <w:spacing w:after="0"/>
        <w:tabs>
          <w:tab w:leader="none" w:pos="17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Leases in which the Group is a lessor:</w:t>
      </w:r>
    </w:p>
    <w:p>
      <w:pPr>
        <w:spacing w:after="0" w:line="134"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Information regarding material lease agreements:</w:t>
      </w:r>
    </w:p>
    <w:p>
      <w:pPr>
        <w:spacing w:after="0" w:line="117"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color w:val="auto"/>
        </w:rPr>
        <w:t>The Group subleases offices at US, Canada and UK for periods expiring in 2027.</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0260"/>
          </w:cols>
          <w:pgMar w:left="320" w:top="459" w:right="1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LEASES (Cont.)</w:t>
      </w:r>
    </w:p>
    <w:p>
      <w:pPr>
        <w:spacing w:after="0" w:line="135" w:lineRule="exact"/>
        <w:rPr>
          <w:sz w:val="20"/>
          <w:szCs w:val="20"/>
          <w:color w:val="auto"/>
        </w:rPr>
      </w:pPr>
    </w:p>
    <w:p>
      <w:pPr>
        <w:ind w:left="2300" w:hanging="537"/>
        <w:spacing w:after="0"/>
        <w:tabs>
          <w:tab w:leader="none" w:pos="2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Net investment in the lease:</w:t>
      </w:r>
    </w:p>
    <w:p>
      <w:pPr>
        <w:spacing w:after="0" w:line="117"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7"/>
          <w:szCs w:val="17"/>
          <w:color w:val="auto"/>
        </w:rPr>
        <w:t>Presented hereunder is the movement in the net investment in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Balance 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1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Sublease receipts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Disposals</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Balance as of December 31,</w:t>
      </w:r>
    </w:p>
    <w:p>
      <w:pPr>
        <w:spacing w:after="0" w:line="200" w:lineRule="exact"/>
        <w:rPr>
          <w:sz w:val="20"/>
          <w:szCs w:val="20"/>
          <w:color w:val="auto"/>
        </w:rPr>
      </w:pPr>
    </w:p>
    <w:p>
      <w:pPr>
        <w:spacing w:after="0" w:line="232" w:lineRule="exact"/>
        <w:rPr>
          <w:sz w:val="20"/>
          <w:szCs w:val="20"/>
          <w:color w:val="auto"/>
        </w:rPr>
      </w:pPr>
    </w:p>
    <w:p>
      <w:pPr>
        <w:ind w:left="2300" w:hanging="537"/>
        <w:spacing w:after="0"/>
        <w:tabs>
          <w:tab w:leader="none" w:pos="2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Maturity analysis of net investment in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Less than one year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One to five years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More than five years (5+)</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Total net investment in the lease as of December 31,</w:t>
      </w:r>
    </w:p>
    <w:p>
      <w:pPr>
        <w:spacing w:after="0" w:line="189" w:lineRule="exact"/>
        <w:rPr>
          <w:sz w:val="20"/>
          <w:szCs w:val="20"/>
          <w:color w:val="auto"/>
        </w:rPr>
      </w:pPr>
    </w:p>
    <w:p>
      <w:pPr>
        <w:ind w:left="2300" w:hanging="537"/>
        <w:spacing w:after="0"/>
        <w:tabs>
          <w:tab w:leader="none" w:pos="2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Amounts recognized in statement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Gain from subleases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5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Financing income on the net investment in the lease</w:t>
      </w:r>
    </w:p>
    <w:p>
      <w:pPr>
        <w:spacing w:after="0" w:line="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9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6350</wp:posOffset>
            </wp:positionV>
            <wp:extent cx="9429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4"/>
          <w:szCs w:val="14"/>
          <w:b w:val="1"/>
          <w:bCs w:val="1"/>
          <w:color w:val="auto"/>
        </w:rPr>
        <w:t>Year ended</w:t>
      </w:r>
    </w:p>
    <w:p>
      <w:pPr>
        <w:jc w:val="center"/>
        <w:ind w:right="53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-3175</wp:posOffset>
            </wp:positionV>
            <wp:extent cx="9429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40"/>
        <w:spacing w:after="0"/>
        <w:tabs>
          <w:tab w:leader="none" w:pos="9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-3175</wp:posOffset>
            </wp:positionV>
            <wp:extent cx="9429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USD thousands</w:t>
      </w:r>
    </w:p>
    <w:p>
      <w:pPr>
        <w:spacing w:after="0" w:line="9"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4,288</w:t>
      </w:r>
      <w:r>
        <w:rPr>
          <w:sz w:val="20"/>
          <w:szCs w:val="20"/>
          <w:color w:val="auto"/>
        </w:rPr>
        <w:tab/>
      </w:r>
      <w:r>
        <w:rPr>
          <w:rFonts w:ascii="Arial" w:cs="Arial" w:eastAsia="Arial" w:hAnsi="Arial"/>
          <w:sz w:val="18"/>
          <w:szCs w:val="18"/>
          <w:color w:val="auto"/>
        </w:rPr>
        <w:t>1,064</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3,327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(3,246)</w:t>
      </w:r>
      <w:r>
        <w:rPr>
          <w:rFonts w:ascii="Arial" w:cs="Arial" w:eastAsia="Arial" w:hAnsi="Arial"/>
          <w:sz w:val="16"/>
          <w:szCs w:val="16"/>
          <w:color w:val="auto"/>
        </w:rPr>
        <w:t>(1,669)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7,094</w:t>
      </w:r>
      <w:r>
        <w:rPr>
          <w:rFonts w:ascii="Arial" w:cs="Arial" w:eastAsia="Arial" w:hAnsi="Arial"/>
          <w:sz w:val="15"/>
          <w:szCs w:val="15"/>
          <w:color w:val="auto"/>
        </w:rPr>
        <w:t>1,566</w:t>
      </w:r>
    </w:p>
    <w:p>
      <w:pPr>
        <w:spacing w:after="0" w:line="9" w:lineRule="exact"/>
        <w:rPr>
          <w:sz w:val="20"/>
          <w:szCs w:val="20"/>
          <w:color w:val="auto"/>
        </w:rPr>
      </w:pPr>
    </w:p>
    <w:p>
      <w:pPr>
        <w:ind w:left="1120" w:hanging="994"/>
        <w:spacing w:after="0"/>
        <w:tabs>
          <w:tab w:leader="none" w:pos="11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b w:val="1"/>
          <w:bCs w:val="1"/>
          <w:color w:val="auto"/>
        </w:rPr>
        <w:t>7,835</w:t>
      </w:r>
      <w:r>
        <w:rPr>
          <w:rFonts w:ascii="Arial" w:cs="Arial" w:eastAsia="Arial" w:hAnsi="Arial"/>
          <w:sz w:val="15"/>
          <w:szCs w:val="15"/>
          <w:b w:val="1"/>
          <w:bCs w:val="1"/>
          <w:color w:val="auto"/>
        </w:rPr>
        <w:t>4,288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-136525</wp:posOffset>
            </wp:positionV>
            <wp:extent cx="9429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17145</wp:posOffset>
            </wp:positionV>
            <wp:extent cx="94297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429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-3175</wp:posOffset>
            </wp:positionV>
            <wp:extent cx="8655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ind w:left="200"/>
        <w:spacing w:after="0"/>
        <w:tabs>
          <w:tab w:leader="none" w:pos="10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-3175</wp:posOffset>
            </wp:positionV>
            <wp:extent cx="8655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14"/>
          <w:szCs w:val="14"/>
          <w:b w:val="1"/>
          <w:bCs w:val="1"/>
          <w:color w:val="auto"/>
        </w:rPr>
        <w:t>USD thousands</w:t>
      </w:r>
    </w:p>
    <w:p>
      <w:pPr>
        <w:spacing w:after="0" w:line="9"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5"/>
          <w:szCs w:val="15"/>
          <w:color w:val="auto"/>
        </w:rPr>
        <w:t>2,153</w:t>
      </w:r>
      <w:r>
        <w:rPr>
          <w:sz w:val="20"/>
          <w:szCs w:val="20"/>
          <w:color w:val="auto"/>
        </w:rPr>
        <w:tab/>
      </w:r>
      <w:r>
        <w:rPr>
          <w:rFonts w:ascii="Arial" w:cs="Arial" w:eastAsia="Arial" w:hAnsi="Arial"/>
          <w:sz w:val="15"/>
          <w:szCs w:val="15"/>
          <w:color w:val="auto"/>
        </w:rPr>
        <w:t>2,367</w:t>
      </w:r>
    </w:p>
    <w:p>
      <w:pPr>
        <w:spacing w:after="0" w:line="42"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5"/>
          <w:szCs w:val="15"/>
          <w:color w:val="auto"/>
        </w:rPr>
        <w:t>3,816</w:t>
      </w:r>
      <w:r>
        <w:rPr>
          <w:sz w:val="20"/>
          <w:szCs w:val="20"/>
          <w:color w:val="auto"/>
        </w:rPr>
        <w:tab/>
      </w:r>
      <w:r>
        <w:rPr>
          <w:rFonts w:ascii="Arial" w:cs="Arial" w:eastAsia="Arial" w:hAnsi="Arial"/>
          <w:sz w:val="15"/>
          <w:szCs w:val="15"/>
          <w:color w:val="auto"/>
        </w:rPr>
        <w:t>1,921</w:t>
      </w:r>
    </w:p>
    <w:p>
      <w:pPr>
        <w:spacing w:after="0" w:line="44"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1,866</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5715</wp:posOffset>
            </wp:positionV>
            <wp:extent cx="8655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ind w:left="200"/>
        <w:spacing w:after="0"/>
        <w:tabs>
          <w:tab w:leader="none" w:pos="1020" w:val="left"/>
        </w:tabs>
        <w:rPr>
          <w:sz w:val="20"/>
          <w:szCs w:val="20"/>
          <w:color w:val="auto"/>
        </w:rPr>
      </w:pPr>
      <w:r>
        <w:rPr>
          <w:rFonts w:ascii="Arial" w:cs="Arial" w:eastAsia="Arial" w:hAnsi="Arial"/>
          <w:sz w:val="15"/>
          <w:szCs w:val="15"/>
          <w:b w:val="1"/>
          <w:bCs w:val="1"/>
          <w:color w:val="auto"/>
        </w:rPr>
        <w:t>7,835</w:t>
      </w:r>
      <w:r>
        <w:rPr>
          <w:sz w:val="20"/>
          <w:szCs w:val="20"/>
          <w:color w:val="auto"/>
        </w:rPr>
        <w:tab/>
      </w:r>
      <w:r>
        <w:rPr>
          <w:rFonts w:ascii="Arial" w:cs="Arial" w:eastAsia="Arial" w:hAnsi="Arial"/>
          <w:sz w:val="15"/>
          <w:szCs w:val="15"/>
          <w:b w:val="1"/>
          <w:bCs w:val="1"/>
          <w:color w:val="auto"/>
        </w:rPr>
        <w:t>4,288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39370</wp:posOffset>
            </wp:positionV>
            <wp:extent cx="86550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6550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6350</wp:posOffset>
            </wp:positionV>
            <wp:extent cx="7112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Year ended</w:t>
      </w:r>
    </w:p>
    <w:p>
      <w:pPr>
        <w:ind w:left="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-3175</wp:posOffset>
            </wp:positionV>
            <wp:extent cx="7112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ind w:left="340"/>
        <w:spacing w:after="0"/>
        <w:tabs>
          <w:tab w:leader="none" w:pos="10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-3175</wp:posOffset>
            </wp:positionV>
            <wp:extent cx="7112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3"/>
          <w:szCs w:val="13"/>
          <w:b w:val="1"/>
          <w:bCs w:val="1"/>
          <w:color w:val="auto"/>
        </w:rPr>
        <w:t>USD thousands</w:t>
      </w:r>
    </w:p>
    <w:p>
      <w:pPr>
        <w:spacing w:after="0" w:line="21" w:lineRule="exact"/>
        <w:rPr>
          <w:sz w:val="20"/>
          <w:szCs w:val="20"/>
          <w:color w:val="auto"/>
        </w:rPr>
      </w:pPr>
    </w:p>
    <w:p>
      <w:pPr>
        <w:ind w:left="1180" w:hanging="805"/>
        <w:spacing w:after="0"/>
        <w:tabs>
          <w:tab w:leader="none" w:pos="118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956</w:t>
      </w:r>
    </w:p>
    <w:p>
      <w:pPr>
        <w:spacing w:after="0" w:line="42" w:lineRule="exact"/>
        <w:rPr>
          <w:rFonts w:ascii="Arial" w:cs="Arial" w:eastAsia="Arial" w:hAnsi="Arial"/>
          <w:sz w:val="15"/>
          <w:szCs w:val="15"/>
          <w:color w:val="auto"/>
        </w:rPr>
      </w:pPr>
    </w:p>
    <w:p>
      <w:pPr>
        <w:ind w:left="1260" w:hanging="885"/>
        <w:spacing w:after="0"/>
        <w:tabs>
          <w:tab w:leader="none" w:pos="12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71</w:t>
      </w:r>
    </w:p>
    <w:p>
      <w:pPr>
        <w:spacing w:after="0" w:line="40" w:lineRule="exact"/>
        <w:rPr>
          <w:rFonts w:ascii="Arial" w:cs="Arial" w:eastAsia="Arial" w:hAnsi="Arial"/>
          <w:sz w:val="16"/>
          <w:szCs w:val="16"/>
          <w:color w:val="auto"/>
        </w:rPr>
      </w:pPr>
    </w:p>
    <w:p>
      <w:pPr>
        <w:ind w:left="1040" w:hanging="665"/>
        <w:spacing w:after="0"/>
        <w:tabs>
          <w:tab w:leader="none" w:pos="1040" w:val="left"/>
        </w:tabs>
        <w:numPr>
          <w:ilvl w:val="0"/>
          <w:numId w:val="140"/>
        </w:numPr>
        <w:rPr>
          <w:rFonts w:ascii="Arial" w:cs="Arial" w:eastAsia="Arial" w:hAnsi="Arial"/>
          <w:sz w:val="15"/>
          <w:szCs w:val="15"/>
          <w:b w:val="1"/>
          <w:bCs w:val="1"/>
          <w:color w:val="auto"/>
        </w:rPr>
      </w:pPr>
      <w:r>
        <w:rPr>
          <w:rFonts w:ascii="Arial" w:cs="Arial" w:eastAsia="Arial" w:hAnsi="Arial"/>
          <w:sz w:val="15"/>
          <w:szCs w:val="15"/>
          <w:b w:val="1"/>
          <w:bCs w:val="1"/>
          <w:color w:val="auto"/>
        </w:rPr>
        <w:t>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-114300</wp:posOffset>
            </wp:positionV>
            <wp:extent cx="2057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-114300</wp:posOffset>
            </wp:positionV>
            <wp:extent cx="317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39370</wp:posOffset>
            </wp:positionV>
            <wp:extent cx="2057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56515</wp:posOffset>
            </wp:positionV>
            <wp:extent cx="2057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39370</wp:posOffset>
            </wp:positionV>
            <wp:extent cx="3175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56515</wp:posOffset>
            </wp:positionV>
            <wp:extent cx="3175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ectPr>
          <w:pgSz w:w="11900" w:h="16838" w:orient="portrait"/>
          <w:cols w:equalWidth="0" w:num="2">
            <w:col w:w="7980" w:space="320"/>
            <w:col w:w="1839"/>
          </w:cols>
          <w:pgMar w:left="320" w:top="459" w:right="1440"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3580" w:type="dxa"/>
            <w:vAlign w:val="bottom"/>
          </w:tcPr>
          <w:p>
            <w:pPr>
              <w:ind w:left="80"/>
              <w:spacing w:after="0"/>
              <w:rPr>
                <w:sz w:val="20"/>
                <w:szCs w:val="20"/>
                <w:color w:val="auto"/>
              </w:rPr>
            </w:pPr>
            <w:r>
              <w:rPr>
                <w:rFonts w:ascii="Arial" w:cs="Arial" w:eastAsia="Arial" w:hAnsi="Arial"/>
                <w:sz w:val="18"/>
                <w:szCs w:val="18"/>
                <w:b w:val="1"/>
                <w:bCs w:val="1"/>
                <w:color w:val="auto"/>
              </w:rPr>
              <w:t>INTANGIBLE ASSETS, NET</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Software</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Trademarks</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Customer</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6"/>
              </w:rPr>
              <w:t>Technology</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Others</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Goodwill</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relationships</w:t>
            </w:r>
          </w:p>
        </w:tc>
        <w:tc>
          <w:tcPr>
            <w:tcW w:w="10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USD thousands</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Balance as of January 1, 2019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8,187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8,201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7,414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27,458</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1,044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32,985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85,289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Additions</w:t>
            </w:r>
          </w:p>
        </w:tc>
        <w:tc>
          <w:tcPr>
            <w:tcW w:w="35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5,672</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combinations (see Note 19)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17,470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30,284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17,629</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100,633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171,394</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Balance as of December 31, 2019</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19,237</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25,683</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37,719</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45,087</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1,044</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133,703</w:t>
            </w: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262,473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Additions</w:t>
            </w:r>
          </w:p>
        </w:tc>
        <w:tc>
          <w:tcPr>
            <w:tcW w:w="35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4,858</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combinations (see Note 19)</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10,054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1,068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17,878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41,085</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Balance as of December 31, 2020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24,095</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36,639</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48,340</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46,818</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2,159</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152,861</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310,912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Amortization</w:t>
            </w:r>
          </w:p>
        </w:tc>
        <w:tc>
          <w:tcPr>
            <w:tcW w:w="3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Balance as of January 1, 2019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5,869</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6,973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2,596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15,202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1,044</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31,684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Additions</w:t>
            </w:r>
          </w:p>
        </w:tc>
        <w:tc>
          <w:tcPr>
            <w:tcW w:w="35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3,363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4,472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5,238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7,395</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20,468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9,232</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11,458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7,857</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22,597</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1,044</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52,188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9,053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9,598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33,829</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Balance as of December 31, 2020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14,446</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20,636</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17,195</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32,033</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2,102</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As of December 31, 2019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10,005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14,225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29,862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22,490</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133,703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210,285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2020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31,145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14,785</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152,861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224,500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Capitalized development costs</w:t>
      </w:r>
    </w:p>
    <w:p>
      <w:pPr>
        <w:spacing w:after="0" w:line="121" w:lineRule="exact"/>
        <w:rPr>
          <w:sz w:val="20"/>
          <w:szCs w:val="20"/>
          <w:color w:val="auto"/>
        </w:rPr>
      </w:pPr>
    </w:p>
    <w:p>
      <w:pPr>
        <w:jc w:val="both"/>
        <w:ind w:left="1320" w:right="20"/>
        <w:spacing w:after="0" w:line="277" w:lineRule="auto"/>
        <w:rPr>
          <w:sz w:val="20"/>
          <w:szCs w:val="20"/>
          <w:color w:val="auto"/>
        </w:rPr>
      </w:pPr>
      <w:r>
        <w:rPr>
          <w:rFonts w:ascii="Arial" w:cs="Arial" w:eastAsia="Arial" w:hAnsi="Arial"/>
          <w:sz w:val="18"/>
          <w:szCs w:val="18"/>
          <w:color w:val="auto"/>
        </w:rPr>
        <w:t>Development costs capitalized in the period amounted to USD 4,816 thousand (2019: USD 4,651 thousand) and were classified under software.</w:t>
      </w:r>
    </w:p>
    <w:p>
      <w:pPr>
        <w:spacing w:after="0" w:line="58"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Impairment testing for intangible assets</w:t>
      </w:r>
    </w:p>
    <w:p>
      <w:pPr>
        <w:spacing w:after="0" w:line="121" w:lineRule="exact"/>
        <w:rPr>
          <w:sz w:val="20"/>
          <w:szCs w:val="20"/>
          <w:color w:val="auto"/>
        </w:rPr>
      </w:pPr>
    </w:p>
    <w:p>
      <w:pPr>
        <w:jc w:val="both"/>
        <w:ind w:left="1320" w:right="20"/>
        <w:spacing w:after="0" w:line="342" w:lineRule="auto"/>
        <w:rPr>
          <w:sz w:val="20"/>
          <w:szCs w:val="20"/>
          <w:color w:val="auto"/>
        </w:rPr>
      </w:pPr>
      <w:r>
        <w:rPr>
          <w:rFonts w:ascii="Arial" w:cs="Arial" w:eastAsia="Arial" w:hAnsi="Arial"/>
          <w:sz w:val="16"/>
          <w:szCs w:val="16"/>
          <w:color w:val="auto"/>
        </w:rPr>
        <w:t>The Company’s qualitative assessment during the years ended December 31, 2020, and 2019, did not indicate that it is more likely than not that the fair value of its goodwill, intangible assets, and other long-lived assets is less than the aggregate carrying amount.</w:t>
      </w:r>
    </w:p>
    <w:p>
      <w:pPr>
        <w:spacing w:after="0" w:line="16" w:lineRule="exact"/>
        <w:rPr>
          <w:sz w:val="20"/>
          <w:szCs w:val="20"/>
          <w:color w:val="auto"/>
        </w:rPr>
      </w:pPr>
    </w:p>
    <w:p>
      <w:pPr>
        <w:jc w:val="both"/>
        <w:ind w:left="1320" w:right="20"/>
        <w:spacing w:after="0" w:line="263" w:lineRule="auto"/>
        <w:rPr>
          <w:sz w:val="20"/>
          <w:szCs w:val="20"/>
          <w:color w:val="auto"/>
        </w:rPr>
      </w:pPr>
      <w:r>
        <w:rPr>
          <w:rFonts w:ascii="Arial" w:cs="Arial" w:eastAsia="Arial" w:hAnsi="Arial"/>
          <w:sz w:val="18"/>
          <w:szCs w:val="18"/>
          <w:color w:val="auto"/>
        </w:rPr>
        <w:t>As of December 31, 2020, the recoverable amount of goodwill was based on fair value less cost of disposal. The fair value less costs of disposals was estimated according to the quoted price of the Company’s ordinary shares. The estimated recoverable amount was higher than the carrying amount, and therefore there was no need for impairment.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INTANGIBLE ASSETS, NET (Cont.)</w:t>
      </w:r>
    </w:p>
    <w:p>
      <w:pPr>
        <w:spacing w:after="0" w:line="135" w:lineRule="exact"/>
        <w:rPr>
          <w:sz w:val="20"/>
          <w:szCs w:val="20"/>
          <w:color w:val="auto"/>
        </w:rPr>
      </w:pPr>
    </w:p>
    <w:p>
      <w:pPr>
        <w:jc w:val="both"/>
        <w:ind w:left="1320" w:right="20"/>
        <w:spacing w:after="0" w:line="286" w:lineRule="auto"/>
        <w:rPr>
          <w:sz w:val="20"/>
          <w:szCs w:val="20"/>
          <w:color w:val="auto"/>
        </w:rPr>
      </w:pPr>
      <w:r>
        <w:rPr>
          <w:rFonts w:ascii="Arial" w:cs="Arial" w:eastAsia="Arial" w:hAnsi="Arial"/>
          <w:sz w:val="17"/>
          <w:szCs w:val="17"/>
          <w:color w:val="auto"/>
        </w:rPr>
        <w:t>As of December 31, 2019, the fair value less cost of disposals based on the quoted price was lower than the carrying amount. As such, the recoverable amount was estimated based on value in use and was determined by discounting the future cash flows. The estimated recoverable amount was higher than the carrying amount, and therefore there was no need for impairment.</w:t>
      </w:r>
    </w:p>
    <w:p>
      <w:pPr>
        <w:spacing w:after="0" w:line="57"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Key assumptions used in the calculation of recoverable amounts are:</w:t>
            </w:r>
          </w:p>
        </w:tc>
        <w:tc>
          <w:tcPr>
            <w:tcW w:w="2480" w:type="dxa"/>
            <w:vAlign w:val="bottom"/>
          </w:tcPr>
          <w:p>
            <w:pPr>
              <w:spacing w:after="0"/>
              <w:rPr>
                <w:sz w:val="20"/>
                <w:szCs w:val="20"/>
                <w:color w:val="auto"/>
              </w:rPr>
            </w:pPr>
          </w:p>
        </w:tc>
      </w:tr>
      <w:tr>
        <w:trPr>
          <w:trHeight w:val="122"/>
        </w:trPr>
        <w:tc>
          <w:tcPr>
            <w:tcW w:w="1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2480" w:type="dxa"/>
            <w:vAlign w:val="bottom"/>
          </w:tcPr>
          <w:p>
            <w:pPr>
              <w:spacing w:after="0"/>
              <w:rPr>
                <w:sz w:val="10"/>
                <w:szCs w:val="10"/>
                <w:color w:val="auto"/>
              </w:rPr>
            </w:pPr>
          </w:p>
        </w:tc>
      </w:tr>
      <w:tr>
        <w:trPr>
          <w:trHeight w:val="216"/>
        </w:trPr>
        <w:tc>
          <w:tcPr>
            <w:tcW w:w="1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Pre-tax discount rate</w:t>
            </w:r>
          </w:p>
        </w:tc>
        <w:tc>
          <w:tcPr>
            <w:tcW w:w="24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13% (WACC)</w:t>
            </w:r>
          </w:p>
        </w:tc>
      </w:tr>
      <w:tr>
        <w:trPr>
          <w:trHeight w:val="216"/>
        </w:trPr>
        <w:tc>
          <w:tcPr>
            <w:tcW w:w="1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Terminal value growth rates</w:t>
            </w:r>
          </w:p>
        </w:tc>
        <w:tc>
          <w:tcPr>
            <w:tcW w:w="2480" w:type="dxa"/>
            <w:vAlign w:val="bottom"/>
          </w:tcPr>
          <w:p>
            <w:pPr>
              <w:ind w:left="1040"/>
              <w:spacing w:after="0"/>
              <w:rPr>
                <w:sz w:val="20"/>
                <w:szCs w:val="20"/>
                <w:color w:val="auto"/>
              </w:rPr>
            </w:pPr>
            <w:r>
              <w:rPr>
                <w:rFonts w:ascii="Arial" w:cs="Arial" w:eastAsia="Arial" w:hAnsi="Arial"/>
                <w:sz w:val="18"/>
                <w:szCs w:val="18"/>
                <w:color w:val="auto"/>
              </w:rPr>
              <w:t>3%</w:t>
            </w:r>
          </w:p>
        </w:tc>
      </w:tr>
      <w:tr>
        <w:trPr>
          <w:trHeight w:val="216"/>
        </w:trPr>
        <w:tc>
          <w:tcPr>
            <w:tcW w:w="1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EBITDA growth rate</w:t>
            </w:r>
          </w:p>
        </w:tc>
        <w:tc>
          <w:tcPr>
            <w:tcW w:w="24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12%-34%</w:t>
            </w:r>
          </w:p>
        </w:tc>
      </w:tr>
    </w:tbl>
    <w:p>
      <w:pPr>
        <w:spacing w:after="0" w:line="94" w:lineRule="exact"/>
        <w:rPr>
          <w:sz w:val="20"/>
          <w:szCs w:val="20"/>
          <w:color w:val="auto"/>
        </w:rPr>
      </w:pPr>
    </w:p>
    <w:p>
      <w:pPr>
        <w:jc w:val="both"/>
        <w:ind w:left="1320" w:right="20"/>
        <w:spacing w:after="0" w:line="263" w:lineRule="auto"/>
        <w:rPr>
          <w:sz w:val="20"/>
          <w:szCs w:val="20"/>
          <w:color w:val="auto"/>
        </w:rPr>
      </w:pPr>
      <w:r>
        <w:rPr>
          <w:rFonts w:ascii="Arial" w:cs="Arial" w:eastAsia="Arial" w:hAnsi="Arial"/>
          <w:sz w:val="18"/>
          <w:szCs w:val="18"/>
          <w:color w:val="auto"/>
        </w:rPr>
        <w:t>The cash flow projections includes specific estimates for five years and terminal value growth rates thereafter. EBITDA growth rate is expressed as the annual growth rate in the initial five years of the plans used for impairment testing and has been mainly based on past experience and management expectations.</w:t>
      </w:r>
    </w:p>
    <w:p>
      <w:pPr>
        <w:spacing w:after="0" w:line="76" w:lineRule="exact"/>
        <w:rPr>
          <w:sz w:val="20"/>
          <w:szCs w:val="20"/>
          <w:color w:val="auto"/>
        </w:rPr>
      </w:pPr>
    </w:p>
    <w:p>
      <w:pPr>
        <w:jc w:val="both"/>
        <w:ind w:left="1320" w:right="20"/>
        <w:spacing w:after="0" w:line="259" w:lineRule="auto"/>
        <w:rPr>
          <w:sz w:val="20"/>
          <w:szCs w:val="20"/>
          <w:color w:val="auto"/>
        </w:rPr>
      </w:pPr>
      <w:r>
        <w:rPr>
          <w:rFonts w:ascii="Arial" w:cs="Arial" w:eastAsia="Arial" w:hAnsi="Arial"/>
          <w:sz w:val="18"/>
          <w:szCs w:val="18"/>
          <w:color w:val="auto"/>
        </w:rPr>
        <w:t>The estimated recoverable amount exceeds its carrying amount by approximately $91,953 thousand. Management has identified two key assumptions for which there reasonably could be a possible change that could cause the carrying amount to exceed the recoverable amount. The table below shows the amount that these two assumptions are required to change individually in order for the estimated recoverable amount to be equal to the carrying amount.</w:t>
      </w:r>
    </w:p>
    <w:p>
      <w:pPr>
        <w:spacing w:after="0" w:line="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Increase in Pre-tax discount rate</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w:t>
            </w:r>
          </w:p>
        </w:tc>
      </w:tr>
      <w:tr>
        <w:trPr>
          <w:trHeight w:val="234"/>
        </w:trPr>
        <w:tc>
          <w:tcPr>
            <w:tcW w:w="7560" w:type="dxa"/>
            <w:vAlign w:val="bottom"/>
          </w:tcPr>
          <w:p>
            <w:pPr>
              <w:spacing w:after="0"/>
              <w:rPr>
                <w:sz w:val="20"/>
                <w:szCs w:val="20"/>
                <w:color w:val="auto"/>
              </w:rPr>
            </w:pPr>
            <w:r>
              <w:rPr>
                <w:rFonts w:ascii="Arial" w:cs="Arial" w:eastAsia="Arial" w:hAnsi="Arial"/>
                <w:sz w:val="18"/>
                <w:szCs w:val="18"/>
                <w:color w:val="auto"/>
              </w:rPr>
              <w:t>Decrease in Terminal value growth rate</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w:t>
            </w:r>
          </w:p>
        </w:tc>
      </w:tr>
    </w:tbl>
    <w:p>
      <w:pPr>
        <w:spacing w:after="0" w:line="75" w:lineRule="exact"/>
        <w:rPr>
          <w:sz w:val="20"/>
          <w:szCs w:val="20"/>
          <w:color w:val="auto"/>
        </w:rPr>
      </w:pPr>
    </w:p>
    <w:p>
      <w:pPr>
        <w:jc w:val="both"/>
        <w:ind w:left="1320"/>
        <w:spacing w:after="0" w:line="259" w:lineRule="auto"/>
        <w:rPr>
          <w:sz w:val="20"/>
          <w:szCs w:val="20"/>
          <w:color w:val="auto"/>
        </w:rPr>
      </w:pPr>
      <w:r>
        <w:rPr>
          <w:rFonts w:ascii="Arial" w:cs="Arial" w:eastAsia="Arial" w:hAnsi="Arial"/>
          <w:sz w:val="18"/>
          <w:szCs w:val="18"/>
          <w:color w:val="auto"/>
        </w:rPr>
        <w:t>Following the acquisition of Unruly, the Company examined the useful life of intangible assets acquired in the past and determined to change the estimated economic life of part of the trademarks asset from 4.75 years to 2.75 years. The effects of the aforesaid change on amortization expenses for the year ended December 31, 2020, 2021, 2022 and 2023 is USD 1,512 thousands, USD 3,024 thousands, (USD 2,268) thousands and (USD 2,268) thousands, respectively.</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3860" w:type="dxa"/>
            <w:vAlign w:val="bottom"/>
            <w:gridSpan w:val="2"/>
          </w:tcPr>
          <w:p>
            <w:pPr>
              <w:ind w:left="260"/>
              <w:spacing w:after="0"/>
              <w:rPr>
                <w:sz w:val="20"/>
                <w:szCs w:val="20"/>
                <w:color w:val="auto"/>
              </w:rPr>
            </w:pPr>
            <w:r>
              <w:rPr>
                <w:rFonts w:ascii="Arial" w:cs="Arial" w:eastAsia="Arial" w:hAnsi="Arial"/>
                <w:sz w:val="18"/>
                <w:szCs w:val="18"/>
                <w:b w:val="1"/>
                <w:bCs w:val="1"/>
                <w:color w:val="auto"/>
              </w:rPr>
              <w:t>TRADE AND OTHER RECEIVABLES</w:t>
            </w:r>
          </w:p>
        </w:tc>
        <w:tc>
          <w:tcPr>
            <w:tcW w:w="2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9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gridSpan w:val="3"/>
          </w:tcPr>
          <w:p>
            <w:pPr>
              <w:jc w:val="right"/>
              <w:ind w:right="352"/>
              <w:spacing w:after="0" w:line="142" w:lineRule="exact"/>
              <w:rPr>
                <w:sz w:val="20"/>
                <w:szCs w:val="20"/>
                <w:color w:val="auto"/>
              </w:rPr>
            </w:pPr>
            <w:r>
              <w:rPr>
                <w:rFonts w:ascii="Arial" w:cs="Arial" w:eastAsia="Arial" w:hAnsi="Arial"/>
                <w:sz w:val="14"/>
                <w:szCs w:val="14"/>
                <w:b w:val="1"/>
                <w:bCs w:val="1"/>
                <w:color w:val="auto"/>
              </w:rPr>
              <w:t>USD thousands</w:t>
            </w:r>
          </w:p>
        </w:tc>
        <w:tc>
          <w:tcPr>
            <w:tcW w:w="120" w:type="dxa"/>
            <w:vAlign w:val="bottom"/>
            <w:tcBorders>
              <w:bottom w:val="single" w:sz="8" w:color="CCEEFF"/>
            </w:tcBorders>
          </w:tcPr>
          <w:p>
            <w:pPr>
              <w:spacing w:after="0"/>
              <w:rPr>
                <w:sz w:val="12"/>
                <w:szCs w:val="12"/>
                <w:color w:val="auto"/>
              </w:rPr>
            </w:pPr>
          </w:p>
        </w:tc>
      </w:tr>
      <w:tr>
        <w:trPr>
          <w:trHeight w:val="210"/>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receivables:</w:t>
            </w:r>
          </w:p>
        </w:tc>
        <w:tc>
          <w:tcPr>
            <w:tcW w:w="2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Trade receivables</w:t>
            </w:r>
          </w:p>
        </w:tc>
        <w:tc>
          <w:tcPr>
            <w:tcW w:w="4040" w:type="dxa"/>
            <w:vAlign w:val="bottom"/>
            <w:gridSpan w:val="3"/>
          </w:tcPr>
          <w:p>
            <w:pPr>
              <w:jc w:val="right"/>
              <w:ind w:right="360"/>
              <w:spacing w:after="0"/>
              <w:rPr>
                <w:sz w:val="20"/>
                <w:szCs w:val="20"/>
                <w:color w:val="auto"/>
              </w:rPr>
            </w:pPr>
            <w:r>
              <w:rPr>
                <w:rFonts w:ascii="Arial" w:cs="Arial" w:eastAsia="Arial" w:hAnsi="Arial"/>
                <w:sz w:val="18"/>
                <w:szCs w:val="18"/>
                <w:color w:val="auto"/>
              </w:rPr>
              <w:t>162,580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119,205</w:t>
            </w: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debts</w:t>
            </w:r>
          </w:p>
        </w:tc>
        <w:tc>
          <w:tcPr>
            <w:tcW w:w="4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(9,036)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(22,376)</w:t>
            </w:r>
          </w:p>
        </w:tc>
      </w:tr>
      <w:tr>
        <w:trPr>
          <w:trHeight w:val="223"/>
        </w:trPr>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Trade receivables, net</w:t>
            </w:r>
          </w:p>
        </w:tc>
        <w:tc>
          <w:tcPr>
            <w:tcW w:w="29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153,544</w:t>
            </w:r>
          </w:p>
        </w:tc>
        <w:tc>
          <w:tcPr>
            <w:tcW w:w="3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96,829</w:t>
            </w:r>
          </w:p>
        </w:tc>
        <w:tc>
          <w:tcPr>
            <w:tcW w:w="12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receivables:</w:t>
            </w:r>
          </w:p>
        </w:tc>
        <w:tc>
          <w:tcPr>
            <w:tcW w:w="2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Prepaid expenses</w:t>
            </w:r>
          </w:p>
        </w:tc>
        <w:tc>
          <w:tcPr>
            <w:tcW w:w="4040" w:type="dxa"/>
            <w:vAlign w:val="bottom"/>
            <w:gridSpan w:val="3"/>
          </w:tcPr>
          <w:p>
            <w:pPr>
              <w:jc w:val="right"/>
              <w:ind w:right="360"/>
              <w:spacing w:after="0"/>
              <w:rPr>
                <w:sz w:val="20"/>
                <w:szCs w:val="20"/>
                <w:color w:val="auto"/>
              </w:rPr>
            </w:pPr>
            <w:r>
              <w:rPr>
                <w:rFonts w:ascii="Arial" w:cs="Arial" w:eastAsia="Arial" w:hAnsi="Arial"/>
                <w:sz w:val="18"/>
                <w:szCs w:val="18"/>
                <w:color w:val="auto"/>
              </w:rPr>
              <w:t>14,053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7,196</w:t>
            </w: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Loan to third party</w:t>
            </w:r>
          </w:p>
        </w:tc>
        <w:tc>
          <w:tcPr>
            <w:tcW w:w="4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689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w:t>
            </w: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Institutions</w:t>
            </w:r>
          </w:p>
        </w:tc>
        <w:tc>
          <w:tcPr>
            <w:tcW w:w="4040" w:type="dxa"/>
            <w:vAlign w:val="bottom"/>
            <w:gridSpan w:val="3"/>
          </w:tcPr>
          <w:p>
            <w:pPr>
              <w:jc w:val="right"/>
              <w:ind w:right="360"/>
              <w:spacing w:after="0"/>
              <w:rPr>
                <w:sz w:val="20"/>
                <w:szCs w:val="20"/>
                <w:color w:val="auto"/>
              </w:rPr>
            </w:pPr>
            <w:r>
              <w:rPr>
                <w:rFonts w:ascii="Arial" w:cs="Arial" w:eastAsia="Arial" w:hAnsi="Arial"/>
                <w:sz w:val="18"/>
                <w:szCs w:val="18"/>
                <w:color w:val="auto"/>
              </w:rPr>
              <w:t>1,165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966</w:t>
            </w: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Pledged deposits</w:t>
            </w:r>
          </w:p>
        </w:tc>
        <w:tc>
          <w:tcPr>
            <w:tcW w:w="4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872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r>
      <w:tr>
        <w:trPr>
          <w:trHeight w:val="223"/>
        </w:trPr>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3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2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40" w:type="dxa"/>
            <w:vAlign w:val="bottom"/>
            <w:gridSpan w:val="3"/>
          </w:tcPr>
          <w:p>
            <w:pPr>
              <w:jc w:val="right"/>
              <w:ind w:right="3160"/>
              <w:spacing w:after="0"/>
              <w:rPr>
                <w:sz w:val="20"/>
                <w:szCs w:val="20"/>
                <w:color w:val="auto"/>
              </w:rPr>
            </w:pPr>
            <w:r>
              <w:rPr>
                <w:rFonts w:ascii="Arial" w:cs="Arial" w:eastAsia="Arial" w:hAnsi="Arial"/>
                <w:sz w:val="18"/>
                <w:szCs w:val="18"/>
                <w:color w:val="auto"/>
              </w:rPr>
              <w:t>F-35</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6920" w:type="dxa"/>
            <w:vAlign w:val="bottom"/>
            <w:gridSpan w:val="2"/>
          </w:tcPr>
          <w:p>
            <w:pPr>
              <w:ind w:left="200"/>
              <w:spacing w:after="0"/>
              <w:rPr>
                <w:sz w:val="20"/>
                <w:szCs w:val="20"/>
                <w:color w:val="auto"/>
              </w:rPr>
            </w:pPr>
            <w:r>
              <w:rPr>
                <w:rFonts w:ascii="Arial" w:cs="Arial" w:eastAsia="Arial" w:hAnsi="Arial"/>
                <w:sz w:val="18"/>
                <w:szCs w:val="18"/>
                <w:b w:val="1"/>
                <w:bCs w:val="1"/>
                <w:color w:val="auto"/>
              </w:rPr>
              <w:t>TRADE AND OTHER PAYABLES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4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rPr>
              <w:t>USD thousands</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125,863</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Other payables: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Advances from customers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Wages, salaries and related expenses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13,853</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Related Parties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Provision for vacation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Institutions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Ad spend liability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5,987</w:t>
            </w:r>
          </w:p>
        </w:tc>
        <w:tc>
          <w:tcPr>
            <w:tcW w:w="3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options on non-controlling interest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6,561</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47,122</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25,049</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NOTE 10:</w:t>
            </w:r>
          </w:p>
        </w:tc>
        <w:tc>
          <w:tcPr>
            <w:tcW w:w="69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vMerge w:val="continue"/>
          </w:tcPr>
          <w:p>
            <w:pPr>
              <w:spacing w:after="0"/>
              <w:rPr>
                <w:sz w:val="24"/>
                <w:szCs w:val="24"/>
                <w:color w:val="auto"/>
              </w:rPr>
            </w:pPr>
          </w:p>
        </w:tc>
        <w:tc>
          <w:tcPr>
            <w:tcW w:w="69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USD thousands</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Bank deposits</w:t>
            </w: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52,638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24,561</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97,463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79,047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Group’s exposure to credit, and currency risks are disclosed in Note 17 on financial instruments.</w:t>
      </w:r>
    </w:p>
    <w:p>
      <w:pPr>
        <w:spacing w:after="0" w:line="248"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NOTE 11a:</w:t>
      </w:r>
      <w:r>
        <w:rPr>
          <w:sz w:val="20"/>
          <w:szCs w:val="20"/>
          <w:color w:val="auto"/>
        </w:rPr>
        <w:tab/>
      </w:r>
      <w:r>
        <w:rPr>
          <w:rFonts w:ascii="Arial" w:cs="Arial" w:eastAsia="Arial" w:hAnsi="Arial"/>
          <w:sz w:val="18"/>
          <w:szCs w:val="18"/>
          <w:b w:val="1"/>
          <w:bCs w:val="1"/>
          <w:color w:val="auto"/>
        </w:rPr>
        <w:t>REVENUE</w:t>
      </w:r>
    </w:p>
    <w:p>
      <w:pPr>
        <w:spacing w:after="0" w:line="126"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Year ended</w:t>
      </w:r>
    </w:p>
    <w:p>
      <w:pPr>
        <w:jc w:val="center"/>
        <w:ind w:left="63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4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gridSpan w:val="3"/>
          </w:tcPr>
          <w:p>
            <w:pPr>
              <w:jc w:val="right"/>
              <w:ind w:right="375"/>
              <w:spacing w:after="0" w:line="142" w:lineRule="exact"/>
              <w:rPr>
                <w:sz w:val="20"/>
                <w:szCs w:val="20"/>
                <w:color w:val="auto"/>
              </w:rPr>
            </w:pPr>
            <w:r>
              <w:rPr>
                <w:rFonts w:ascii="Arial" w:cs="Arial" w:eastAsia="Arial" w:hAnsi="Arial"/>
                <w:sz w:val="14"/>
                <w:szCs w:val="14"/>
                <w:b w:val="1"/>
                <w:bCs w:val="1"/>
                <w:color w:val="auto"/>
              </w:rPr>
              <w:t>USD thousands</w:t>
            </w:r>
          </w:p>
        </w:tc>
        <w:tc>
          <w:tcPr>
            <w:tcW w:w="6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Programmatic (1)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161,625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241,464</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Performance</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50,295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84,296</w:t>
            </w:r>
          </w:p>
        </w:tc>
      </w:tr>
      <w:tr>
        <w:trPr>
          <w:trHeight w:val="223"/>
        </w:trPr>
        <w:tc>
          <w:tcPr>
            <w:tcW w:w="64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211,920</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325,760</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77"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2020 and 2019 programmatic revenue is reported on net basis and gross basis, respectively and performance revenue reported on gross basis for both years (see Note 3k). Media cost amounted to USD 117,301 thousand in the year ended December 31,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NOTE 11b:</w:t>
      </w:r>
      <w:r>
        <w:rPr>
          <w:sz w:val="20"/>
          <w:szCs w:val="20"/>
          <w:color w:val="auto"/>
        </w:rPr>
        <w:tab/>
      </w:r>
      <w:r>
        <w:rPr>
          <w:rFonts w:ascii="Arial" w:cs="Arial" w:eastAsia="Arial" w:hAnsi="Arial"/>
          <w:sz w:val="17"/>
          <w:szCs w:val="17"/>
          <w:b w:val="1"/>
          <w:bCs w:val="1"/>
          <w:color w:val="auto"/>
        </w:rPr>
        <w:t>COST OF REVENUE</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Programmatic (1)</w:t>
      </w:r>
    </w:p>
    <w:p>
      <w:pPr>
        <w:spacing w:after="0" w:line="4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Performance</w:t>
      </w:r>
    </w:p>
    <w:p>
      <w:pPr>
        <w:spacing w:after="0" w:line="3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Cost of Revenue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15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15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-3175</wp:posOffset>
            </wp:positionV>
            <wp:extent cx="10801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40"/>
        <w:spacing w:after="0"/>
        <w:tabs>
          <w:tab w:leader="none" w:pos="10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-3175</wp:posOffset>
            </wp:positionV>
            <wp:extent cx="10801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b w:val="1"/>
          <w:bCs w:val="1"/>
          <w:color w:val="auto"/>
        </w:rPr>
        <w:t>USD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-3175</wp:posOffset>
            </wp:positionV>
            <wp:extent cx="5314950"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tabs>
          <w:tab w:leader="none" w:pos="960" w:val="left"/>
        </w:tabs>
        <w:rPr>
          <w:sz w:val="20"/>
          <w:szCs w:val="20"/>
          <w:color w:val="auto"/>
        </w:rPr>
      </w:pPr>
      <w:r>
        <w:rPr>
          <w:rFonts w:ascii="Arial" w:cs="Arial" w:eastAsia="Arial" w:hAnsi="Arial"/>
          <w:sz w:val="16"/>
          <w:szCs w:val="16"/>
          <w:color w:val="auto"/>
        </w:rPr>
        <w:t>31,918</w:t>
      </w:r>
      <w:r>
        <w:rPr>
          <w:sz w:val="20"/>
          <w:szCs w:val="20"/>
          <w:color w:val="auto"/>
        </w:rPr>
        <w:tab/>
      </w:r>
      <w:r>
        <w:rPr>
          <w:rFonts w:ascii="Arial" w:cs="Arial" w:eastAsia="Arial" w:hAnsi="Arial"/>
          <w:sz w:val="16"/>
          <w:szCs w:val="16"/>
          <w:color w:val="auto"/>
        </w:rPr>
        <w:t>142,676</w:t>
      </w:r>
    </w:p>
    <w:p>
      <w:pPr>
        <w:spacing w:after="0" w:line="3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27,889</w:t>
      </w:r>
      <w:r>
        <w:rPr>
          <w:sz w:val="20"/>
          <w:szCs w:val="20"/>
          <w:color w:val="auto"/>
        </w:rPr>
        <w:tab/>
      </w:r>
      <w:r>
        <w:rPr>
          <w:rFonts w:ascii="Arial" w:cs="Arial" w:eastAsia="Arial" w:hAnsi="Arial"/>
          <w:sz w:val="16"/>
          <w:szCs w:val="16"/>
          <w:color w:val="auto"/>
        </w:rPr>
        <w:t>44,570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20320</wp:posOffset>
            </wp:positionV>
            <wp:extent cx="10801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59,807</w:t>
      </w:r>
      <w:r>
        <w:rPr>
          <w:sz w:val="20"/>
          <w:szCs w:val="20"/>
          <w:color w:val="auto"/>
        </w:rPr>
        <w:tab/>
      </w:r>
      <w:r>
        <w:rPr>
          <w:rFonts w:ascii="Arial" w:cs="Arial" w:eastAsia="Arial" w:hAnsi="Arial"/>
          <w:sz w:val="16"/>
          <w:szCs w:val="16"/>
          <w:color w:val="auto"/>
        </w:rPr>
        <w:t>187,246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-107315</wp:posOffset>
            </wp:positionV>
            <wp:extent cx="5314950"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314950" cy="16319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7460" w:space="720"/>
            <w:col w:w="2960"/>
          </w:cols>
          <w:pgMar w:left="320" w:top="459" w:right="439" w:bottom="1440" w:gutter="0" w:footer="0" w:header="0"/>
          <w:type w:val="continuous"/>
        </w:sectPr>
      </w:pPr>
    </w:p>
    <w:p>
      <w:pPr>
        <w:ind w:left="540" w:right="20" w:hanging="424"/>
        <w:spacing w:after="0" w:line="277"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2020 and 2019 programmatic revenue is reported on net basis and gross basis, respectively and performance revenue reported on gross basis for both years (see Note 3k). Media cost amounted to USD 117,301 thousand in the year ended December 31, 2019.</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7080" w:type="dxa"/>
            <w:vAlign w:val="bottom"/>
            <w:gridSpan w:val="2"/>
          </w:tcPr>
          <w:p>
            <w:pPr>
              <w:ind w:left="200"/>
              <w:spacing w:after="0"/>
              <w:rPr>
                <w:sz w:val="20"/>
                <w:szCs w:val="20"/>
                <w:color w:val="auto"/>
              </w:rPr>
            </w:pPr>
            <w:r>
              <w:rPr>
                <w:rFonts w:ascii="Arial" w:cs="Arial" w:eastAsia="Arial" w:hAnsi="Arial"/>
                <w:sz w:val="18"/>
                <w:szCs w:val="18"/>
                <w:b w:val="1"/>
                <w:bCs w:val="1"/>
                <w:color w:val="auto"/>
              </w:rPr>
              <w:t>GENERAL AND ADMINISTRATIVE EXPENSES</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r>
      <w:tr>
        <w:trPr>
          <w:trHeight w:val="171"/>
        </w:trPr>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6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w:t>
            </w: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USD thousands</w:t>
            </w:r>
          </w:p>
        </w:tc>
        <w:tc>
          <w:tcPr>
            <w:tcW w:w="60" w:type="dxa"/>
            <w:vAlign w:val="bottom"/>
            <w:tcBorders>
              <w:bottom w:val="single" w:sz="8" w:color="CCEEFF"/>
            </w:tcBorders>
          </w:tcPr>
          <w:p>
            <w:pPr>
              <w:spacing w:after="0"/>
              <w:rPr>
                <w:sz w:val="12"/>
                <w:szCs w:val="12"/>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Wages, salaries and related expenses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15,274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 base payments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9,420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14,100</w:t>
            </w: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Rent and office maintenance</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Professional expenses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4,766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1,282</w:t>
            </w: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Doubtful debts</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3,003</w:t>
            </w: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Acquisition costs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524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2,840</w:t>
            </w: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1,003</w:t>
            </w:r>
          </w:p>
        </w:tc>
      </w:tr>
      <w:tr>
        <w:trPr>
          <w:trHeight w:val="223"/>
        </w:trPr>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29,678</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34,433</w:t>
            </w:r>
          </w:p>
        </w:tc>
        <w:tc>
          <w:tcPr>
            <w:tcW w:w="6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OTHER EXPENSES (INCOME), NET</w:t>
      </w:r>
    </w:p>
    <w:p>
      <w:pPr>
        <w:spacing w:after="0" w:line="121" w:lineRule="exact"/>
        <w:rPr>
          <w:sz w:val="20"/>
          <w:szCs w:val="20"/>
          <w:color w:val="auto"/>
        </w:rPr>
      </w:pPr>
    </w:p>
    <w:p>
      <w:pPr>
        <w:jc w:val="both"/>
        <w:ind w:left="1320" w:right="20"/>
        <w:spacing w:after="0" w:line="257" w:lineRule="auto"/>
        <w:rPr>
          <w:sz w:val="20"/>
          <w:szCs w:val="20"/>
          <w:color w:val="auto"/>
        </w:rPr>
      </w:pPr>
      <w:r>
        <w:rPr>
          <w:rFonts w:ascii="Arial" w:cs="Arial" w:eastAsia="Arial" w:hAnsi="Arial"/>
          <w:sz w:val="18"/>
          <w:szCs w:val="18"/>
          <w:color w:val="auto"/>
        </w:rPr>
        <w:t>On December 31, 2019, the Company entered into an Asset Purchase Agreement (as amended on February 14, 2020), with Netaktion LLC pursuant to which it sold to Netaktion LLC, RhythmOne’s, owned and operated websites business for a purchase price consisting of (i) USD 100 thousand in cash, (ii) USD 600 thousand payable in the form of promissory note payable in eighteen (18) installment payments from April 2021 through December, 2022, and (iii) up to USD 2,800 thousand payable under a profit sharing arrangement derived from the percentage of future profit.</w:t>
      </w:r>
    </w:p>
    <w:p>
      <w:pPr>
        <w:spacing w:after="0" w:line="80" w:lineRule="exact"/>
        <w:rPr>
          <w:sz w:val="20"/>
          <w:szCs w:val="20"/>
          <w:color w:val="auto"/>
        </w:rPr>
      </w:pPr>
    </w:p>
    <w:p>
      <w:pPr>
        <w:jc w:val="both"/>
        <w:ind w:left="1320" w:right="20"/>
        <w:spacing w:after="0" w:line="277" w:lineRule="auto"/>
        <w:rPr>
          <w:sz w:val="20"/>
          <w:szCs w:val="20"/>
          <w:color w:val="auto"/>
        </w:rPr>
      </w:pPr>
      <w:r>
        <w:rPr>
          <w:rFonts w:ascii="Arial" w:cs="Arial" w:eastAsia="Arial" w:hAnsi="Arial"/>
          <w:sz w:val="18"/>
          <w:szCs w:val="18"/>
          <w:color w:val="auto"/>
        </w:rPr>
        <w:t>The Company recognized an immediate capital gain of USD 700 thousand. As of December 31, 2020, the outstanding balance of the promissory note was USD 618 thousand including interest.</w:t>
      </w:r>
    </w:p>
    <w:p>
      <w:pPr>
        <w:spacing w:after="0" w:line="62" w:lineRule="exact"/>
        <w:rPr>
          <w:sz w:val="20"/>
          <w:szCs w:val="20"/>
          <w:color w:val="auto"/>
        </w:rPr>
      </w:pPr>
    </w:p>
    <w:p>
      <w:pPr>
        <w:jc w:val="both"/>
        <w:ind w:left="1320"/>
        <w:spacing w:after="0" w:line="259" w:lineRule="auto"/>
        <w:rPr>
          <w:sz w:val="20"/>
          <w:szCs w:val="20"/>
          <w:color w:val="auto"/>
        </w:rPr>
      </w:pPr>
      <w:r>
        <w:rPr>
          <w:rFonts w:ascii="Arial" w:cs="Arial" w:eastAsia="Arial" w:hAnsi="Arial"/>
          <w:sz w:val="18"/>
          <w:szCs w:val="18"/>
          <w:color w:val="auto"/>
        </w:rPr>
        <w:t>On October 5, 2020, the Company entered into an Asset Purchase Agreement pursuant to which it sold to Fols Media LLC certain ad exchange operations for a purchase price consisting of (i) USD 51.6 thousand in cash, (ii) USD 85 thousand payable in the form of a bearing interest promissory note payable in 2020 through 2022 and (iii) up to USD 1,200 thousand payable under a revenue sharing arrangement derived from a percentage of future revenue.</w:t>
      </w:r>
    </w:p>
    <w:p>
      <w:pPr>
        <w:spacing w:after="0" w:line="79" w:lineRule="exact"/>
        <w:rPr>
          <w:sz w:val="20"/>
          <w:szCs w:val="20"/>
          <w:color w:val="auto"/>
        </w:rPr>
      </w:pPr>
    </w:p>
    <w:p>
      <w:pPr>
        <w:jc w:val="both"/>
        <w:ind w:left="1320" w:right="20"/>
        <w:spacing w:after="0" w:line="342" w:lineRule="auto"/>
        <w:rPr>
          <w:sz w:val="20"/>
          <w:szCs w:val="20"/>
          <w:color w:val="auto"/>
        </w:rPr>
      </w:pPr>
      <w:r>
        <w:rPr>
          <w:rFonts w:ascii="Arial" w:cs="Arial" w:eastAsia="Arial" w:hAnsi="Arial"/>
          <w:sz w:val="16"/>
          <w:szCs w:val="16"/>
          <w:color w:val="auto"/>
        </w:rPr>
        <w:t>The Company recognized an immediate capital gain of USD 502.6 thousand. As of December 31, 2020, the Company recognized USD 116 thousand in revenue sharing, and the outstanding balance of the promissory note was USD 71 thousand including interest.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OTHER EXPENSES (INCOME), NET (Cont.)</w:t>
      </w:r>
    </w:p>
    <w:p>
      <w:pPr>
        <w:spacing w:after="0" w:line="135" w:lineRule="exact"/>
        <w:rPr>
          <w:sz w:val="20"/>
          <w:szCs w:val="20"/>
          <w:color w:val="auto"/>
        </w:rPr>
      </w:pPr>
    </w:p>
    <w:p>
      <w:pPr>
        <w:ind w:left="1320"/>
        <w:spacing w:after="0" w:line="277" w:lineRule="auto"/>
        <w:rPr>
          <w:sz w:val="20"/>
          <w:szCs w:val="20"/>
          <w:color w:val="auto"/>
        </w:rPr>
      </w:pPr>
      <w:r>
        <w:rPr>
          <w:rFonts w:ascii="Arial" w:cs="Arial" w:eastAsia="Arial" w:hAnsi="Arial"/>
          <w:sz w:val="18"/>
          <w:szCs w:val="18"/>
          <w:color w:val="auto"/>
        </w:rPr>
        <w:t>The Company recognized a total amount of USD 1,700 thousand paid to Uber, in relation to the full dismissal of the case against the Company (see Note 21a).</w:t>
      </w:r>
    </w:p>
    <w:p>
      <w:pPr>
        <w:spacing w:after="0" w:line="193"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Issued and paid-in share capital:</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Balance 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Own shares held by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Share based compensation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Shares issued in business combination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6350</wp:posOffset>
            </wp:positionV>
            <wp:extent cx="168021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ind w:left="200"/>
        <w:spacing w:after="0"/>
        <w:tabs>
          <w:tab w:leader="none" w:pos="16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-3175</wp:posOffset>
            </wp:positionV>
            <wp:extent cx="168021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Number of shares</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124,223,182</w:t>
      </w:r>
      <w:r>
        <w:rPr>
          <w:sz w:val="20"/>
          <w:szCs w:val="20"/>
          <w:color w:val="auto"/>
        </w:rPr>
        <w:tab/>
      </w:r>
      <w:r>
        <w:rPr>
          <w:rFonts w:ascii="Arial" w:cs="Arial" w:eastAsia="Arial" w:hAnsi="Arial"/>
          <w:sz w:val="17"/>
          <w:szCs w:val="17"/>
          <w:color w:val="auto"/>
        </w:rPr>
        <w:t>68,521,997</w:t>
      </w:r>
    </w:p>
    <w:p>
      <w:pPr>
        <w:spacing w:after="0" w:line="19"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6"/>
          <w:szCs w:val="16"/>
          <w:color w:val="auto"/>
        </w:rPr>
        <w:t>(5,277,220)</w:t>
      </w:r>
      <w:r>
        <w:rPr>
          <w:sz w:val="20"/>
          <w:szCs w:val="20"/>
          <w:color w:val="auto"/>
        </w:rPr>
        <w:tab/>
      </w:r>
      <w:r>
        <w:rPr>
          <w:rFonts w:ascii="Arial" w:cs="Arial" w:eastAsia="Arial" w:hAnsi="Arial"/>
          <w:sz w:val="16"/>
          <w:szCs w:val="16"/>
          <w:color w:val="auto"/>
        </w:rPr>
        <w:t>(14,552,741)</w:t>
      </w:r>
    </w:p>
    <w:p>
      <w:pPr>
        <w:spacing w:after="0" w:line="32"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7"/>
          <w:szCs w:val="17"/>
          <w:color w:val="auto"/>
        </w:rPr>
        <w:t>6,444,944</w:t>
      </w:r>
      <w:r>
        <w:rPr>
          <w:sz w:val="20"/>
          <w:szCs w:val="20"/>
          <w:color w:val="auto"/>
        </w:rPr>
        <w:tab/>
      </w:r>
      <w:r>
        <w:rPr>
          <w:rFonts w:ascii="Arial" w:cs="Arial" w:eastAsia="Arial" w:hAnsi="Arial"/>
          <w:sz w:val="17"/>
          <w:szCs w:val="17"/>
          <w:color w:val="auto"/>
        </w:rPr>
        <w:t>3,517,441</w:t>
      </w:r>
    </w:p>
    <w:p>
      <w:pPr>
        <w:spacing w:after="0" w:line="21" w:lineRule="exact"/>
        <w:rPr>
          <w:sz w:val="20"/>
          <w:szCs w:val="20"/>
          <w:color w:val="auto"/>
        </w:rPr>
      </w:pPr>
    </w:p>
    <w:p>
      <w:pPr>
        <w:ind w:left="180"/>
        <w:spacing w:after="0"/>
        <w:tabs>
          <w:tab w:leader="none" w:pos="1580" w:val="left"/>
        </w:tabs>
        <w:rPr>
          <w:sz w:val="20"/>
          <w:szCs w:val="20"/>
          <w:color w:val="auto"/>
        </w:rPr>
      </w:pPr>
      <w:r>
        <w:rPr>
          <w:rFonts w:ascii="Arial" w:cs="Arial" w:eastAsia="Arial" w:hAnsi="Arial"/>
          <w:sz w:val="17"/>
          <w:szCs w:val="17"/>
          <w:color w:val="auto"/>
        </w:rPr>
        <w:t>8,525,323</w:t>
      </w:r>
      <w:r>
        <w:rPr>
          <w:sz w:val="20"/>
          <w:szCs w:val="20"/>
          <w:color w:val="auto"/>
        </w:rPr>
        <w:tab/>
      </w:r>
      <w:r>
        <w:rPr>
          <w:rFonts w:ascii="Arial" w:cs="Arial" w:eastAsia="Arial" w:hAnsi="Arial"/>
          <w:sz w:val="17"/>
          <w:szCs w:val="17"/>
          <w:color w:val="auto"/>
        </w:rPr>
        <w:t>66,736,485</w:t>
      </w:r>
    </w:p>
    <w:p>
      <w:pPr>
        <w:spacing w:after="0" w:line="21" w:lineRule="exact"/>
        <w:rPr>
          <w:sz w:val="20"/>
          <w:szCs w:val="20"/>
          <w:color w:val="auto"/>
        </w:rPr>
      </w:pPr>
    </w:p>
    <w:p>
      <w:pPr>
        <w:sectPr>
          <w:pgSz w:w="11900" w:h="16838" w:orient="portrait"/>
          <w:cols w:equalWidth="0" w:num="2">
            <w:col w:w="6540" w:space="720"/>
            <w:col w:w="3860"/>
          </w:cols>
          <w:pgMar w:left="320" w:top="459" w:right="459" w:bottom="1440" w:gutter="0" w:footer="0" w:header="0"/>
          <w:type w:val="continuous"/>
        </w:sectPr>
      </w:pPr>
    </w:p>
    <w:tbl>
      <w:tblPr>
        <w:tblLayout w:type="fixed"/>
        <w:tblInd w:w="1440" w:type="dxa"/>
        <w:tblCellMar>
          <w:top w:w="0" w:type="dxa"/>
          <w:left w:w="0" w:type="dxa"/>
          <w:bottom w:w="0" w:type="dxa"/>
          <w:right w:w="0" w:type="dxa"/>
        </w:tblCellMar>
      </w:tblP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Issued and paid-in share capital as of December 31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133,916,229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124,223,182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Authorized share capital</w:t>
            </w: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300,000,000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740" w:hanging="423"/>
        <w:spacing w:after="0"/>
        <w:tabs>
          <w:tab w:leader="none" w:pos="1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Rights attached to share:</w:t>
      </w:r>
    </w:p>
    <w:p>
      <w:pPr>
        <w:spacing w:after="0" w:line="117" w:lineRule="exact"/>
        <w:rPr>
          <w:rFonts w:ascii="Arial" w:cs="Arial" w:eastAsia="Arial" w:hAnsi="Arial"/>
          <w:sz w:val="18"/>
          <w:szCs w:val="18"/>
          <w:color w:val="auto"/>
        </w:rPr>
      </w:pPr>
    </w:p>
    <w:p>
      <w:pPr>
        <w:ind w:left="1760"/>
        <w:spacing w:after="0" w:line="308" w:lineRule="auto"/>
        <w:rPr>
          <w:rFonts w:ascii="Arial" w:cs="Arial" w:eastAsia="Arial" w:hAnsi="Arial"/>
          <w:sz w:val="18"/>
          <w:szCs w:val="18"/>
          <w:color w:val="auto"/>
        </w:rPr>
      </w:pPr>
      <w:r>
        <w:rPr>
          <w:rFonts w:ascii="Arial" w:cs="Arial" w:eastAsia="Arial" w:hAnsi="Arial"/>
          <w:sz w:val="17"/>
          <w:szCs w:val="17"/>
          <w:color w:val="auto"/>
        </w:rPr>
        <w:t>The holders of ordinary shares are entitled to receive dividends as declared from time to time and are entitled to one vote per share at general meetings of the Company. All shares rank equally with regard to the Company’s residual assets.</w:t>
      </w:r>
    </w:p>
    <w:p>
      <w:pPr>
        <w:spacing w:after="0" w:line="294" w:lineRule="exact"/>
        <w:rPr>
          <w:rFonts w:ascii="Arial" w:cs="Arial" w:eastAsia="Arial" w:hAnsi="Arial"/>
          <w:sz w:val="18"/>
          <w:szCs w:val="18"/>
          <w:color w:val="auto"/>
        </w:rPr>
      </w:pPr>
    </w:p>
    <w:p>
      <w:pPr>
        <w:ind w:left="1740" w:hanging="423"/>
        <w:spacing w:after="0"/>
        <w:tabs>
          <w:tab w:leader="none" w:pos="1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Director share allotment:</w:t>
      </w:r>
    </w:p>
    <w:p>
      <w:pPr>
        <w:spacing w:after="0" w:line="117" w:lineRule="exact"/>
        <w:rPr>
          <w:rFonts w:ascii="Arial" w:cs="Arial" w:eastAsia="Arial" w:hAnsi="Arial"/>
          <w:sz w:val="18"/>
          <w:szCs w:val="18"/>
          <w:color w:val="auto"/>
        </w:rPr>
      </w:pPr>
    </w:p>
    <w:p>
      <w:pPr>
        <w:ind w:left="1760"/>
        <w:spacing w:after="0" w:line="277" w:lineRule="auto"/>
        <w:rPr>
          <w:rFonts w:ascii="Arial" w:cs="Arial" w:eastAsia="Arial" w:hAnsi="Arial"/>
          <w:sz w:val="18"/>
          <w:szCs w:val="18"/>
          <w:color w:val="auto"/>
        </w:rPr>
      </w:pPr>
      <w:r>
        <w:rPr>
          <w:rFonts w:ascii="Arial" w:cs="Arial" w:eastAsia="Arial" w:hAnsi="Arial"/>
          <w:sz w:val="18"/>
          <w:szCs w:val="18"/>
          <w:color w:val="auto"/>
        </w:rPr>
        <w:t>According to Director’s employment commitment letter, the Company is committed to issue shares worth of GBP 6,250 each quarter in consideration of the director’s services.</w:t>
      </w:r>
    </w:p>
    <w:p>
      <w:pPr>
        <w:spacing w:after="0" w:line="62" w:lineRule="exact"/>
        <w:rPr>
          <w:rFonts w:ascii="Arial" w:cs="Arial" w:eastAsia="Arial" w:hAnsi="Arial"/>
          <w:sz w:val="18"/>
          <w:szCs w:val="18"/>
          <w:color w:val="auto"/>
        </w:rPr>
      </w:pPr>
    </w:p>
    <w:p>
      <w:pPr>
        <w:ind w:left="1760"/>
        <w:spacing w:after="0" w:line="277" w:lineRule="auto"/>
        <w:rPr>
          <w:rFonts w:ascii="Arial" w:cs="Arial" w:eastAsia="Arial" w:hAnsi="Arial"/>
          <w:sz w:val="18"/>
          <w:szCs w:val="18"/>
          <w:color w:val="auto"/>
        </w:rPr>
      </w:pPr>
      <w:r>
        <w:rPr>
          <w:rFonts w:ascii="Arial" w:cs="Arial" w:eastAsia="Arial" w:hAnsi="Arial"/>
          <w:sz w:val="18"/>
          <w:szCs w:val="18"/>
          <w:color w:val="auto"/>
        </w:rPr>
        <w:t>In the year ended December 31, 2019, the Company issued 8,761 ordinary shares of a par value of NIS 0.01 based on the share price on the date of the issuance, only for the first quarter of 2019.</w:t>
      </w:r>
    </w:p>
    <w:p>
      <w:pPr>
        <w:spacing w:after="0" w:line="62" w:lineRule="exact"/>
        <w:rPr>
          <w:rFonts w:ascii="Arial" w:cs="Arial" w:eastAsia="Arial" w:hAnsi="Arial"/>
          <w:sz w:val="18"/>
          <w:szCs w:val="18"/>
          <w:color w:val="auto"/>
        </w:rPr>
      </w:pPr>
    </w:p>
    <w:p>
      <w:pPr>
        <w:ind w:left="1760"/>
        <w:spacing w:after="0" w:line="277" w:lineRule="auto"/>
        <w:rPr>
          <w:rFonts w:ascii="Arial" w:cs="Arial" w:eastAsia="Arial" w:hAnsi="Arial"/>
          <w:sz w:val="18"/>
          <w:szCs w:val="18"/>
          <w:color w:val="auto"/>
        </w:rPr>
      </w:pPr>
      <w:r>
        <w:rPr>
          <w:rFonts w:ascii="Arial" w:cs="Arial" w:eastAsia="Arial" w:hAnsi="Arial"/>
          <w:sz w:val="18"/>
          <w:szCs w:val="18"/>
          <w:color w:val="auto"/>
        </w:rPr>
        <w:t>The total expenses recognized in the statement of Operation and Other Comprehensive Income in the year ended December 31, 2019 with respect to the director share allotment amounted to USD 8 thousand.</w:t>
      </w:r>
    </w:p>
    <w:p>
      <w:pPr>
        <w:spacing w:after="0" w:line="318" w:lineRule="exact"/>
        <w:rPr>
          <w:rFonts w:ascii="Arial" w:cs="Arial" w:eastAsia="Arial" w:hAnsi="Arial"/>
          <w:sz w:val="18"/>
          <w:szCs w:val="18"/>
          <w:color w:val="auto"/>
        </w:rPr>
      </w:pPr>
    </w:p>
    <w:p>
      <w:pPr>
        <w:ind w:left="1740" w:hanging="423"/>
        <w:spacing w:after="0"/>
        <w:tabs>
          <w:tab w:leader="none" w:pos="1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Issuing new public shares:</w:t>
      </w:r>
    </w:p>
    <w:p>
      <w:pPr>
        <w:spacing w:after="0" w:line="117" w:lineRule="exact"/>
        <w:rPr>
          <w:rFonts w:ascii="Arial" w:cs="Arial" w:eastAsia="Arial" w:hAnsi="Arial"/>
          <w:sz w:val="18"/>
          <w:szCs w:val="18"/>
          <w:color w:val="auto"/>
        </w:rPr>
      </w:pPr>
    </w:p>
    <w:p>
      <w:pPr>
        <w:jc w:val="both"/>
        <w:ind w:left="1760"/>
        <w:spacing w:after="0" w:line="263" w:lineRule="auto"/>
        <w:rPr>
          <w:rFonts w:ascii="Arial" w:cs="Arial" w:eastAsia="Arial" w:hAnsi="Arial"/>
          <w:sz w:val="18"/>
          <w:szCs w:val="18"/>
          <w:color w:val="auto"/>
        </w:rPr>
      </w:pPr>
      <w:r>
        <w:rPr>
          <w:rFonts w:ascii="Arial" w:cs="Arial" w:eastAsia="Arial" w:hAnsi="Arial"/>
          <w:sz w:val="18"/>
          <w:szCs w:val="18"/>
          <w:color w:val="auto"/>
        </w:rPr>
        <w:t>Following the acquisition of Unruly, as described in Note 19b, the Company issued 8,525,323 shares at a quoted price of GBP 1.51 (USD 1.98) per share to former Unruly shareholders which became admitted to trading on AIM on January 10, 2020 and are subject to a 18-months lock-up.</w:t>
      </w:r>
    </w:p>
    <w:p>
      <w:pPr>
        <w:spacing w:after="0" w:line="75" w:lineRule="exact"/>
        <w:rPr>
          <w:rFonts w:ascii="Arial" w:cs="Arial" w:eastAsia="Arial" w:hAnsi="Arial"/>
          <w:sz w:val="18"/>
          <w:szCs w:val="18"/>
          <w:color w:val="auto"/>
        </w:rPr>
      </w:pPr>
    </w:p>
    <w:p>
      <w:pPr>
        <w:jc w:val="both"/>
        <w:ind w:left="1760"/>
        <w:spacing w:after="0" w:line="263" w:lineRule="auto"/>
        <w:rPr>
          <w:rFonts w:ascii="Arial" w:cs="Arial" w:eastAsia="Arial" w:hAnsi="Arial"/>
          <w:sz w:val="18"/>
          <w:szCs w:val="18"/>
          <w:color w:val="auto"/>
        </w:rPr>
      </w:pPr>
      <w:r>
        <w:rPr>
          <w:rFonts w:ascii="Arial" w:cs="Arial" w:eastAsia="Arial" w:hAnsi="Arial"/>
          <w:sz w:val="18"/>
          <w:szCs w:val="18"/>
          <w:color w:val="auto"/>
        </w:rPr>
        <w:t>In April 2019, following the acquisition of RhythmOne, as described in Note 19c, the Company issued 66,736,485 new shares for every 33 RhythmOne shares held, so that following the completion of the Acquisition, the Company’s current shareholders held 50.1% and, RhythmOne Shareholders held 49.9% of the merged Group.</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type w:val="continuous"/>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SHAREHOLDERS’ EQUITY (Cont.)</w:t>
      </w:r>
    </w:p>
    <w:p>
      <w:pPr>
        <w:spacing w:after="0" w:line="135" w:lineRule="exact"/>
        <w:rPr>
          <w:sz w:val="20"/>
          <w:szCs w:val="20"/>
          <w:color w:val="auto"/>
        </w:rPr>
      </w:pPr>
    </w:p>
    <w:p>
      <w:pPr>
        <w:ind w:left="1740" w:hanging="423"/>
        <w:spacing w:after="0"/>
        <w:tabs>
          <w:tab w:leader="none" w:pos="17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Own shares acquisition:</w:t>
      </w:r>
    </w:p>
    <w:p>
      <w:pPr>
        <w:spacing w:after="0" w:line="117" w:lineRule="exact"/>
        <w:rPr>
          <w:rFonts w:ascii="Arial" w:cs="Arial" w:eastAsia="Arial" w:hAnsi="Arial"/>
          <w:sz w:val="18"/>
          <w:szCs w:val="18"/>
          <w:color w:val="auto"/>
        </w:rPr>
      </w:pPr>
    </w:p>
    <w:p>
      <w:pPr>
        <w:jc w:val="both"/>
        <w:ind w:left="1760" w:right="20"/>
        <w:spacing w:after="0" w:line="259" w:lineRule="auto"/>
        <w:rPr>
          <w:rFonts w:ascii="Arial" w:cs="Arial" w:eastAsia="Arial" w:hAnsi="Arial"/>
          <w:sz w:val="18"/>
          <w:szCs w:val="18"/>
          <w:color w:val="auto"/>
        </w:rPr>
      </w:pPr>
      <w:r>
        <w:rPr>
          <w:rFonts w:ascii="Arial" w:cs="Arial" w:eastAsia="Arial" w:hAnsi="Arial"/>
          <w:sz w:val="18"/>
          <w:szCs w:val="18"/>
          <w:color w:val="auto"/>
        </w:rPr>
        <w:t>Following the Acquisition of RhythmOne, as described in Note 1, and as part of the Company’s Board of Director approvals in April 2019 and June 2019 for a share buyback program for a total consideration of USD 25,000 thousand, the Company purchased during the year ended December 31, 2019 14,552,741 shares (of which 5,743,731 were purchased from former related parties) for a total consideration of USD 24,737 thousands.</w:t>
      </w:r>
    </w:p>
    <w:p>
      <w:pPr>
        <w:spacing w:after="0" w:line="78" w:lineRule="exact"/>
        <w:rPr>
          <w:rFonts w:ascii="Arial" w:cs="Arial" w:eastAsia="Arial" w:hAnsi="Arial"/>
          <w:sz w:val="18"/>
          <w:szCs w:val="18"/>
          <w:color w:val="auto"/>
        </w:rPr>
      </w:pPr>
    </w:p>
    <w:p>
      <w:pPr>
        <w:jc w:val="both"/>
        <w:ind w:left="1760"/>
        <w:spacing w:after="0" w:line="263" w:lineRule="auto"/>
        <w:rPr>
          <w:rFonts w:ascii="Arial" w:cs="Arial" w:eastAsia="Arial" w:hAnsi="Arial"/>
          <w:sz w:val="18"/>
          <w:szCs w:val="18"/>
          <w:color w:val="auto"/>
        </w:rPr>
      </w:pPr>
      <w:r>
        <w:rPr>
          <w:rFonts w:ascii="Arial" w:cs="Arial" w:eastAsia="Arial" w:hAnsi="Arial"/>
          <w:sz w:val="18"/>
          <w:szCs w:val="18"/>
          <w:color w:val="auto"/>
        </w:rPr>
        <w:t>In March 2020, following the Company’s Board of Director approvals for a share buyback program for a total consideration of USD 10,000 thousand, the Company purchased during the twelve months period ended December 31, 2020 5,277,220 shares for a total consideration of USD 9,965 thousand.</w:t>
      </w:r>
    </w:p>
    <w:p>
      <w:pPr>
        <w:spacing w:after="0" w:line="75" w:lineRule="exact"/>
        <w:rPr>
          <w:rFonts w:ascii="Arial" w:cs="Arial" w:eastAsia="Arial" w:hAnsi="Arial"/>
          <w:sz w:val="18"/>
          <w:szCs w:val="18"/>
          <w:color w:val="auto"/>
        </w:rPr>
      </w:pPr>
    </w:p>
    <w:p>
      <w:pPr>
        <w:ind w:left="176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acquired pursuant to the buyback programs reclassified as dormant shares under the Israeli Companies Law (without any rights attached thereon) and held in treasury.</w:t>
      </w:r>
    </w:p>
    <w:p>
      <w:pPr>
        <w:spacing w:after="0" w:line="62" w:lineRule="exact"/>
        <w:rPr>
          <w:rFonts w:ascii="Arial" w:cs="Arial" w:eastAsia="Arial" w:hAnsi="Arial"/>
          <w:sz w:val="18"/>
          <w:szCs w:val="18"/>
          <w:color w:val="auto"/>
        </w:rPr>
      </w:pPr>
    </w:p>
    <w:p>
      <w:pPr>
        <w:ind w:left="1760"/>
        <w:spacing w:after="0" w:line="308" w:lineRule="auto"/>
        <w:rPr>
          <w:rFonts w:ascii="Arial" w:cs="Arial" w:eastAsia="Arial" w:hAnsi="Arial"/>
          <w:sz w:val="18"/>
          <w:szCs w:val="18"/>
          <w:color w:val="auto"/>
        </w:rPr>
      </w:pPr>
      <w:r>
        <w:rPr>
          <w:rFonts w:ascii="Arial" w:cs="Arial" w:eastAsia="Arial" w:hAnsi="Arial"/>
          <w:sz w:val="17"/>
          <w:szCs w:val="17"/>
          <w:color w:val="auto"/>
        </w:rPr>
        <w:t>On December 17, 2020 the Company has received approval from the Israeli court authorizing the distribution of a dividend and the repurchase of up to USD 20,000 thousand of the Company’s Ordinary Shares, if the Company elect to do so.</w:t>
      </w:r>
    </w:p>
    <w:p>
      <w:pPr>
        <w:spacing w:after="0" w:line="38" w:lineRule="exact"/>
        <w:rPr>
          <w:rFonts w:ascii="Arial" w:cs="Arial" w:eastAsia="Arial" w:hAnsi="Arial"/>
          <w:sz w:val="18"/>
          <w:szCs w:val="18"/>
          <w:color w:val="auto"/>
        </w:rPr>
      </w:pPr>
    </w:p>
    <w:p>
      <w:pPr>
        <w:ind w:left="1760" w:right="20"/>
        <w:spacing w:after="0" w:line="277" w:lineRule="auto"/>
        <w:rPr>
          <w:rFonts w:ascii="Arial" w:cs="Arial" w:eastAsia="Arial" w:hAnsi="Arial"/>
          <w:sz w:val="18"/>
          <w:szCs w:val="18"/>
          <w:color w:val="auto"/>
        </w:rPr>
      </w:pPr>
      <w:r>
        <w:rPr>
          <w:rFonts w:ascii="Arial" w:cs="Arial" w:eastAsia="Arial" w:hAnsi="Arial"/>
          <w:sz w:val="18"/>
          <w:szCs w:val="18"/>
          <w:color w:val="auto"/>
        </w:rPr>
        <w:t>On December 22, 2020, the Company’s Board of Directors has approved another share buyback program for an aggregate purchase price of up to USD 10,000 thousand.</w:t>
      </w:r>
    </w:p>
    <w:p>
      <w:pPr>
        <w:spacing w:after="0" w:line="62" w:lineRule="exact"/>
        <w:rPr>
          <w:rFonts w:ascii="Arial" w:cs="Arial" w:eastAsia="Arial" w:hAnsi="Arial"/>
          <w:sz w:val="18"/>
          <w:szCs w:val="18"/>
          <w:color w:val="auto"/>
        </w:rPr>
      </w:pPr>
    </w:p>
    <w:p>
      <w:pPr>
        <w:jc w:val="both"/>
        <w:ind w:left="1760"/>
        <w:spacing w:after="0" w:line="263" w:lineRule="auto"/>
        <w:rPr>
          <w:rFonts w:ascii="Arial" w:cs="Arial" w:eastAsia="Arial" w:hAnsi="Arial"/>
          <w:sz w:val="18"/>
          <w:szCs w:val="18"/>
          <w:color w:val="auto"/>
        </w:rPr>
      </w:pPr>
      <w:r>
        <w:rPr>
          <w:rFonts w:ascii="Arial" w:cs="Arial" w:eastAsia="Arial" w:hAnsi="Arial"/>
          <w:sz w:val="18"/>
          <w:szCs w:val="18"/>
          <w:color w:val="auto"/>
        </w:rPr>
        <w:t>Although the Company have paid dividends and share buybacks in the past, the Company does not anticipate paying any dividends in the foreseeable future. The Company currently intend to retain future earnings, if any, to finance operations and expand its business.</w:t>
      </w:r>
    </w:p>
    <w:p>
      <w:pPr>
        <w:spacing w:after="0" w:line="207"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EARNINGS PER SHARE</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Basic earnings per share</w:t>
      </w:r>
    </w:p>
    <w:p>
      <w:pPr>
        <w:spacing w:after="0" w:line="121" w:lineRule="exact"/>
        <w:rPr>
          <w:sz w:val="20"/>
          <w:szCs w:val="20"/>
          <w:color w:val="auto"/>
        </w:rPr>
      </w:pPr>
    </w:p>
    <w:p>
      <w:pPr>
        <w:ind w:left="1320" w:right="20"/>
        <w:spacing w:after="0" w:line="277" w:lineRule="auto"/>
        <w:rPr>
          <w:sz w:val="20"/>
          <w:szCs w:val="20"/>
          <w:color w:val="auto"/>
        </w:rPr>
      </w:pPr>
      <w:r>
        <w:rPr>
          <w:rFonts w:ascii="Arial" w:cs="Arial" w:eastAsia="Arial" w:hAnsi="Arial"/>
          <w:sz w:val="18"/>
          <w:szCs w:val="18"/>
          <w:color w:val="auto"/>
        </w:rPr>
        <w:t>The calculation of basic earnings per share as of December 31, 2020 and 2019 was based on the profit for the year divided by a weighted average number of ordinary shares outstanding, calculated as follows:</w:t>
      </w:r>
    </w:p>
    <w:p>
      <w:pPr>
        <w:spacing w:after="0" w:line="27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Profit for the year:</w:t>
      </w:r>
    </w:p>
    <w:p>
      <w:pPr>
        <w:spacing w:after="0" w:line="248"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-3175</wp:posOffset>
            </wp:positionV>
            <wp:extent cx="8743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ind w:left="8500"/>
        <w:spacing w:after="0"/>
        <w:tabs>
          <w:tab w:leader="none" w:pos="9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-3175</wp:posOffset>
            </wp:positionV>
            <wp:extent cx="8743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ind w:left="8600"/>
        <w:spacing w:after="0" w:line="232" w:lineRule="auto"/>
        <w:rPr>
          <w:sz w:val="20"/>
          <w:szCs w:val="20"/>
          <w:color w:val="auto"/>
        </w:rPr>
      </w:pPr>
      <w:r>
        <w:rPr>
          <w:rFonts w:ascii="Arial" w:cs="Arial" w:eastAsia="Arial" w:hAnsi="Arial"/>
          <w:sz w:val="14"/>
          <w:szCs w:val="14"/>
          <w:b w:val="1"/>
          <w:bCs w:val="1"/>
          <w:color w:val="auto"/>
        </w:rPr>
        <w:t>USD thousands</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82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40" w:type="dxa"/>
            <w:vAlign w:val="bottom"/>
            <w:tcBorders>
              <w:top w:val="single" w:sz="8" w:color="CCEEFF"/>
            </w:tcBorders>
            <w:shd w:val="clear" w:color="auto" w:fill="CCEEFF"/>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NOTE 15:</w:t>
            </w:r>
          </w:p>
        </w:tc>
        <w:tc>
          <w:tcPr>
            <w:tcW w:w="5900" w:type="dxa"/>
            <w:vAlign w:val="bottom"/>
            <w:gridSpan w:val="2"/>
          </w:tcPr>
          <w:p>
            <w:pPr>
              <w:ind w:left="200"/>
              <w:spacing w:after="0"/>
              <w:rPr>
                <w:sz w:val="20"/>
                <w:szCs w:val="20"/>
                <w:color w:val="auto"/>
              </w:rPr>
            </w:pPr>
            <w:r>
              <w:rPr>
                <w:rFonts w:ascii="Arial" w:cs="Arial" w:eastAsia="Arial" w:hAnsi="Arial"/>
                <w:sz w:val="18"/>
                <w:szCs w:val="18"/>
                <w:b w:val="1"/>
                <w:bCs w:val="1"/>
                <w:color w:val="auto"/>
              </w:rPr>
              <w:t>EARNINGS PER SHARE (Cont.)</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5900" w:type="dxa"/>
            <w:vAlign w:val="bottom"/>
            <w:gridSpan w:val="2"/>
          </w:tcPr>
          <w:p>
            <w:pPr>
              <w:ind w:left="200"/>
              <w:spacing w:after="0"/>
              <w:rPr>
                <w:sz w:val="20"/>
                <w:szCs w:val="20"/>
                <w:color w:val="auto"/>
              </w:rPr>
            </w:pPr>
            <w:r>
              <w:rPr>
                <w:rFonts w:ascii="Arial" w:cs="Arial" w:eastAsia="Arial" w:hAnsi="Arial"/>
                <w:sz w:val="18"/>
                <w:szCs w:val="18"/>
                <w:b w:val="1"/>
                <w:bCs w:val="1"/>
                <w:color w:val="auto"/>
              </w:rPr>
              <w:t>Weighted average number of ordinary shares: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0" w:type="dxa"/>
            <w:vAlign w:val="bottom"/>
            <w:gridSpan w:val="4"/>
          </w:tcPr>
          <w:p>
            <w:pPr>
              <w:jc w:val="center"/>
              <w:ind w:left="843"/>
              <w:spacing w:after="0"/>
              <w:rPr>
                <w:sz w:val="20"/>
                <w:szCs w:val="20"/>
                <w:color w:val="auto"/>
              </w:rPr>
            </w:pPr>
            <w:r>
              <w:rPr>
                <w:rFonts w:ascii="Arial" w:cs="Arial" w:eastAsia="Arial" w:hAnsi="Arial"/>
                <w:sz w:val="14"/>
                <w:szCs w:val="14"/>
                <w:b w:val="1"/>
                <w:bCs w:val="1"/>
                <w:color w:val="auto"/>
                <w:w w:val="90"/>
              </w:rPr>
              <w:t>Year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00" w:type="dxa"/>
            <w:vAlign w:val="bottom"/>
            <w:tcBorders>
              <w:bottom w:val="single" w:sz="8" w:color="auto"/>
            </w:tcBorders>
            <w:gridSpan w:val="4"/>
          </w:tcPr>
          <w:p>
            <w:pPr>
              <w:jc w:val="center"/>
              <w:ind w:left="843"/>
              <w:spacing w:after="0"/>
              <w:rPr>
                <w:sz w:val="20"/>
                <w:szCs w:val="20"/>
                <w:color w:val="auto"/>
              </w:rPr>
            </w:pPr>
            <w:r>
              <w:rPr>
                <w:rFonts w:ascii="Arial" w:cs="Arial" w:eastAsia="Arial" w:hAnsi="Arial"/>
                <w:sz w:val="14"/>
                <w:szCs w:val="14"/>
                <w:b w:val="1"/>
                <w:bCs w:val="1"/>
                <w:color w:val="auto"/>
                <w:w w:val="91"/>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200" w:type="dxa"/>
            <w:vAlign w:val="bottom"/>
            <w:tcBorders>
              <w:bottom w:val="single" w:sz="8" w:color="auto"/>
            </w:tcBorders>
          </w:tcPr>
          <w:p>
            <w:pPr>
              <w:jc w:val="right"/>
              <w:ind w:right="36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800" w:type="dxa"/>
            <w:vAlign w:val="bottom"/>
            <w:tcBorders>
              <w:bottom w:val="single" w:sz="8" w:color="auto"/>
            </w:tcBorders>
            <w:gridSpan w:val="4"/>
          </w:tcPr>
          <w:p>
            <w:pPr>
              <w:jc w:val="center"/>
              <w:ind w:left="843"/>
              <w:spacing w:after="0" w:line="142" w:lineRule="exact"/>
              <w:rPr>
                <w:sz w:val="20"/>
                <w:szCs w:val="20"/>
                <w:color w:val="auto"/>
              </w:rPr>
            </w:pPr>
            <w:r>
              <w:rPr>
                <w:rFonts w:ascii="Arial" w:cs="Arial" w:eastAsia="Arial" w:hAnsi="Arial"/>
                <w:sz w:val="14"/>
                <w:szCs w:val="14"/>
                <w:b w:val="1"/>
                <w:bCs w:val="1"/>
                <w:color w:val="auto"/>
                <w:w w:val="92"/>
              </w:rPr>
              <w:t>Shares of NIS</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gridSpan w:val="4"/>
          </w:tcPr>
          <w:p>
            <w:pPr>
              <w:jc w:val="center"/>
              <w:ind w:left="843"/>
              <w:spacing w:after="0" w:line="142" w:lineRule="exact"/>
              <w:rPr>
                <w:sz w:val="20"/>
                <w:szCs w:val="20"/>
                <w:color w:val="auto"/>
              </w:rPr>
            </w:pPr>
            <w:r>
              <w:rPr>
                <w:rFonts w:ascii="Arial" w:cs="Arial" w:eastAsia="Arial" w:hAnsi="Arial"/>
                <w:sz w:val="14"/>
                <w:szCs w:val="14"/>
                <w:b w:val="1"/>
                <w:bCs w:val="1"/>
                <w:color w:val="auto"/>
                <w:w w:val="94"/>
              </w:rPr>
              <w:t>0.01 par value</w:t>
            </w:r>
          </w:p>
        </w:tc>
        <w:tc>
          <w:tcPr>
            <w:tcW w:w="9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number of ordinary shares used to calculate basic</w:t>
            </w: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as at December 31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133,991,210</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111,231,769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 (in USD)</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80" w:type="dxa"/>
            <w:vAlign w:val="bottom"/>
            <w:vMerge w:val="continue"/>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0.016</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Diluted earnings per share:</w:t>
      </w:r>
    </w:p>
    <w:p>
      <w:pPr>
        <w:spacing w:after="0" w:line="121" w:lineRule="exact"/>
        <w:rPr>
          <w:sz w:val="20"/>
          <w:szCs w:val="20"/>
          <w:color w:val="auto"/>
        </w:rPr>
      </w:pPr>
    </w:p>
    <w:p>
      <w:pPr>
        <w:jc w:val="both"/>
        <w:ind w:left="1320"/>
        <w:spacing w:after="0" w:line="263" w:lineRule="auto"/>
        <w:rPr>
          <w:sz w:val="20"/>
          <w:szCs w:val="20"/>
          <w:color w:val="auto"/>
        </w:rPr>
      </w:pPr>
      <w:r>
        <w:rPr>
          <w:rFonts w:ascii="Arial" w:cs="Arial" w:eastAsia="Arial" w:hAnsi="Arial"/>
          <w:sz w:val="18"/>
          <w:szCs w:val="18"/>
          <w:color w:val="auto"/>
        </w:rPr>
        <w:t>The calculation of diluted earnings per share as of December 31, 2020 and 2019 was based on profit or for the year divided by a weighted average number of shares outstanding after adjustment for the effects of all dilutive potential ordinary shares, calculated as follows:</w:t>
      </w:r>
    </w:p>
    <w:p>
      <w:pPr>
        <w:spacing w:after="0" w:line="288"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Weighted average number of ordinary shares (diluted):</w:t>
      </w:r>
    </w:p>
    <w:p>
      <w:pPr>
        <w:spacing w:after="0" w:line="248"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Year ended</w:t>
      </w:r>
    </w:p>
    <w:p>
      <w:pPr>
        <w:jc w:val="center"/>
        <w:ind w:left="55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800" w:type="dxa"/>
            <w:vAlign w:val="bottom"/>
            <w:tcBorders>
              <w:bottom w:val="single" w:sz="8" w:color="auto"/>
            </w:tcBorders>
            <w:gridSpan w:val="4"/>
          </w:tcPr>
          <w:p>
            <w:pPr>
              <w:ind w:left="940"/>
              <w:spacing w:after="0" w:line="142" w:lineRule="exact"/>
              <w:rPr>
                <w:sz w:val="20"/>
                <w:szCs w:val="20"/>
                <w:color w:val="auto"/>
              </w:rPr>
            </w:pPr>
            <w:r>
              <w:rPr>
                <w:rFonts w:ascii="Arial" w:cs="Arial" w:eastAsia="Arial" w:hAnsi="Arial"/>
                <w:sz w:val="14"/>
                <w:szCs w:val="14"/>
                <w:b w:val="1"/>
                <w:bCs w:val="1"/>
                <w:color w:val="auto"/>
                <w:w w:val="92"/>
              </w:rPr>
              <w:t>Shares of NIS</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gridSpan w:val="4"/>
          </w:tcPr>
          <w:p>
            <w:pPr>
              <w:ind w:left="920"/>
              <w:spacing w:after="0" w:line="142" w:lineRule="exact"/>
              <w:rPr>
                <w:sz w:val="20"/>
                <w:szCs w:val="20"/>
                <w:color w:val="auto"/>
              </w:rPr>
            </w:pPr>
            <w:r>
              <w:rPr>
                <w:rFonts w:ascii="Arial" w:cs="Arial" w:eastAsia="Arial" w:hAnsi="Arial"/>
                <w:sz w:val="14"/>
                <w:szCs w:val="14"/>
                <w:b w:val="1"/>
                <w:bCs w:val="1"/>
                <w:color w:val="auto"/>
                <w:w w:val="92"/>
              </w:rPr>
              <w:t>0.01 par value</w:t>
            </w:r>
          </w:p>
        </w:tc>
        <w:tc>
          <w:tcPr>
            <w:tcW w:w="9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number of ordinary shares used to calculate basic</w:t>
            </w: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133,991,210</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111,231,769</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Effect of share options on issue</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4,714,985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3,576,114</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ordinary shares used to calculate diluted</w:t>
            </w: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138,706,195</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114,807,883</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 (in USD)</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0.015</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SHARE-BASED PAYMENT ARRANGEMENTS</w:t>
      </w:r>
    </w:p>
    <w:p>
      <w:pPr>
        <w:spacing w:after="0" w:line="131" w:lineRule="exact"/>
        <w:rPr>
          <w:sz w:val="20"/>
          <w:szCs w:val="20"/>
          <w:color w:val="auto"/>
        </w:rPr>
      </w:pPr>
    </w:p>
    <w:p>
      <w:pPr>
        <w:ind w:left="1740" w:hanging="423"/>
        <w:spacing w:after="0"/>
        <w:tabs>
          <w:tab w:leader="none" w:pos="17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w:t>
      </w:r>
    </w:p>
    <w:p>
      <w:pPr>
        <w:spacing w:after="0" w:line="121"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The terms and conditions related to the grants of the share options programs are as follows:</w:t>
      </w:r>
    </w:p>
    <w:p>
      <w:pPr>
        <w:spacing w:after="0" w:line="130"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the share options that were granted are non-marketable.</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options are to be settled by physical delivery of shares.</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Vesting conditions are based on a service period of between 0.5-4 years.</w:t>
      </w:r>
    </w:p>
    <w:p>
      <w:pPr>
        <w:spacing w:after="0" w:line="117" w:lineRule="exact"/>
        <w:rPr>
          <w:sz w:val="20"/>
          <w:szCs w:val="20"/>
          <w:color w:val="auto"/>
        </w:rPr>
      </w:pPr>
    </w:p>
    <w:p>
      <w:pPr>
        <w:jc w:val="both"/>
        <w:ind w:left="1760"/>
        <w:spacing w:after="0" w:line="259" w:lineRule="auto"/>
        <w:rPr>
          <w:sz w:val="20"/>
          <w:szCs w:val="20"/>
          <w:color w:val="auto"/>
        </w:rPr>
      </w:pPr>
      <w:r>
        <w:rPr>
          <w:rFonts w:ascii="Arial" w:cs="Arial" w:eastAsia="Arial" w:hAnsi="Arial"/>
          <w:sz w:val="18"/>
          <w:szCs w:val="18"/>
          <w:color w:val="auto"/>
        </w:rPr>
        <w:t>On April 2, 2019 the Company’s shareholders adopted the New Tremor International Ltd. Management Incentive Scheme to provide for the grant of 11,772,932 equity incentive awards to executive officers. In addition, following the Acquisition of RhythmOne, the Company’s shareholders adopted RhythmOne Plan to provide for the grant of 1,328,908 equity incentive award to RhythmOne executives and employees.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SHARE-BASED PAYMENT ARRANGEMENTS (Cont.)</w:t>
      </w:r>
    </w:p>
    <w:p>
      <w:pPr>
        <w:spacing w:after="0" w:line="135" w:lineRule="exact"/>
        <w:rPr>
          <w:sz w:val="20"/>
          <w:szCs w:val="20"/>
          <w:color w:val="auto"/>
        </w:rPr>
      </w:pPr>
    </w:p>
    <w:p>
      <w:pPr>
        <w:jc w:val="both"/>
        <w:ind w:left="1760"/>
        <w:spacing w:after="0" w:line="257" w:lineRule="auto"/>
        <w:rPr>
          <w:sz w:val="20"/>
          <w:szCs w:val="20"/>
          <w:color w:val="auto"/>
        </w:rPr>
      </w:pPr>
      <w:r>
        <w:rPr>
          <w:rFonts w:ascii="Arial" w:cs="Arial" w:eastAsia="Arial" w:hAnsi="Arial"/>
          <w:sz w:val="18"/>
          <w:szCs w:val="18"/>
          <w:color w:val="auto"/>
        </w:rPr>
        <w:t>As part of the New Tremor International Ltd. Management Incentive Scheme, and following the acquisition of RhythmOne, the Company’s shareholders approved a modification in the exercise price of 1,200,000 Company share options awarded to the CEO of the Group, out of which 1,080,000 share options will be vested subject to meet the performance-based metrics, and the remaining options will be vested over a shorter service periods. Furthermore, restricted stock units of 400,000 to the Group’s CEO were modified for a shorter vesting periods.</w:t>
      </w:r>
    </w:p>
    <w:p>
      <w:pPr>
        <w:spacing w:after="0" w:line="80"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As described in Note 1, part of the acquisition of RhythmOne, 849,325 RhythmOne’s options and 1,058,776 RSU’s were replaced by to 458,946 and 869,962 of the Company’s options and RSU’s, respectively.</w:t>
      </w:r>
    </w:p>
    <w:p>
      <w:pPr>
        <w:spacing w:after="0" w:line="62" w:lineRule="exact"/>
        <w:rPr>
          <w:sz w:val="20"/>
          <w:szCs w:val="20"/>
          <w:color w:val="auto"/>
        </w:rPr>
      </w:pPr>
    </w:p>
    <w:p>
      <w:pPr>
        <w:jc w:val="both"/>
        <w:ind w:left="1760" w:right="20"/>
        <w:spacing w:after="0" w:line="342" w:lineRule="auto"/>
        <w:rPr>
          <w:sz w:val="20"/>
          <w:szCs w:val="20"/>
          <w:color w:val="auto"/>
        </w:rPr>
      </w:pPr>
      <w:r>
        <w:rPr>
          <w:rFonts w:ascii="Arial" w:cs="Arial" w:eastAsia="Arial" w:hAnsi="Arial"/>
          <w:sz w:val="16"/>
          <w:szCs w:val="16"/>
          <w:color w:val="auto"/>
        </w:rPr>
        <w:t>As part of the acquisition of Unruly, as described in Note 1, the Group granted 415,074 restricted share units (RSU’s) to Unruly executives and employees to replace the pre-acquisition equity incentive awards held by such Unruly executives and employees.</w:t>
      </w:r>
    </w:p>
    <w:p>
      <w:pPr>
        <w:spacing w:after="0" w:line="268" w:lineRule="exact"/>
        <w:rPr>
          <w:sz w:val="20"/>
          <w:szCs w:val="20"/>
          <w:color w:val="auto"/>
        </w:rPr>
      </w:pPr>
    </w:p>
    <w:p>
      <w:pPr>
        <w:ind w:left="1740" w:hanging="423"/>
        <w:spacing w:after="0"/>
        <w:tabs>
          <w:tab w:leader="none" w:pos="17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21"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2020 and 2019, the Group granted 1,801,000 and 458,946 share options to its executive officers and employees, respectively.</w:t>
      </w:r>
    </w:p>
    <w:p>
      <w:pPr>
        <w:spacing w:after="0" w:line="62"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The number of share options is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86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Number of options</w:t>
            </w: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rPr>
              <w:t>(Thousands)</w:t>
            </w:r>
          </w:p>
        </w:tc>
        <w:tc>
          <w:tcPr>
            <w:tcW w:w="4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75"/>
              <w:spacing w:after="0" w:line="142" w:lineRule="exact"/>
              <w:rPr>
                <w:sz w:val="20"/>
                <w:szCs w:val="20"/>
                <w:color w:val="auto"/>
              </w:rPr>
            </w:pPr>
            <w:r>
              <w:rPr>
                <w:rFonts w:ascii="Arial" w:cs="Arial" w:eastAsia="Arial" w:hAnsi="Arial"/>
                <w:sz w:val="14"/>
                <w:szCs w:val="14"/>
                <w:b w:val="1"/>
                <w:bCs w:val="1"/>
                <w:color w:val="auto"/>
              </w:rPr>
              <w:t>(GBP)</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 January</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4,828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1"/>
              </w:rPr>
              <w:t>2.89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(1,621)</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(2,290)</w:t>
            </w:r>
          </w:p>
        </w:tc>
        <w:tc>
          <w:tcPr>
            <w:tcW w:w="440" w:type="dxa"/>
            <w:vAlign w:val="bottom"/>
          </w:tcPr>
          <w:p>
            <w:pPr>
              <w:jc w:val="center"/>
              <w:ind w:left="36"/>
              <w:spacing w:after="0"/>
              <w:rPr>
                <w:sz w:val="20"/>
                <w:szCs w:val="20"/>
                <w:color w:val="auto"/>
              </w:rPr>
            </w:pPr>
            <w:r>
              <w:rPr>
                <w:rFonts w:ascii="Arial" w:cs="Arial" w:eastAsia="Arial" w:hAnsi="Arial"/>
                <w:sz w:val="18"/>
                <w:szCs w:val="18"/>
                <w:color w:val="auto"/>
                <w:w w:val="91"/>
              </w:rPr>
              <w:t>2.86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(1,227)</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(1,072)</w:t>
            </w:r>
          </w:p>
        </w:tc>
        <w:tc>
          <w:tcPr>
            <w:tcW w:w="44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1"/>
              </w:rPr>
              <w:t>0.53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1,801</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tcPr>
          <w:p>
            <w:pPr>
              <w:jc w:val="center"/>
              <w:ind w:left="36"/>
              <w:spacing w:after="0"/>
              <w:rPr>
                <w:sz w:val="20"/>
                <w:szCs w:val="20"/>
                <w:color w:val="auto"/>
              </w:rPr>
            </w:pPr>
            <w:r>
              <w:rPr>
                <w:rFonts w:ascii="Arial" w:cs="Arial" w:eastAsia="Arial" w:hAnsi="Arial"/>
                <w:sz w:val="18"/>
                <w:szCs w:val="18"/>
                <w:color w:val="auto"/>
                <w:w w:val="91"/>
              </w:rPr>
              <w:t>1.62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Option assumed in Merger</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459</w:t>
            </w:r>
          </w:p>
        </w:tc>
        <w:tc>
          <w:tcPr>
            <w:tcW w:w="44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3,781</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4,828</w:t>
            </w:r>
          </w:p>
        </w:tc>
        <w:tc>
          <w:tcPr>
            <w:tcW w:w="440" w:type="dxa"/>
            <w:vAlign w:val="bottom"/>
          </w:tcPr>
          <w:p>
            <w:pPr>
              <w:jc w:val="center"/>
              <w:ind w:left="36"/>
              <w:spacing w:after="0"/>
              <w:rPr>
                <w:sz w:val="20"/>
                <w:szCs w:val="20"/>
                <w:color w:val="auto"/>
              </w:rPr>
            </w:pPr>
            <w:r>
              <w:rPr>
                <w:rFonts w:ascii="Arial" w:cs="Arial" w:eastAsia="Arial" w:hAnsi="Arial"/>
                <w:sz w:val="18"/>
                <w:szCs w:val="18"/>
                <w:color w:val="auto"/>
                <w:w w:val="91"/>
              </w:rPr>
              <w:t>1.60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2,054</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760" w:right="20"/>
        <w:spacing w:after="0" w:line="277" w:lineRule="auto"/>
        <w:rPr>
          <w:sz w:val="20"/>
          <w:szCs w:val="20"/>
          <w:color w:val="auto"/>
        </w:rPr>
      </w:pPr>
      <w:r>
        <w:rPr>
          <w:rFonts w:ascii="Arial" w:cs="Arial" w:eastAsia="Arial" w:hAnsi="Arial"/>
          <w:sz w:val="18"/>
          <w:szCs w:val="18"/>
          <w:color w:val="auto"/>
        </w:rPr>
        <w:t>In January 2020, the Company’s Board of Directors approved a change in the exercise price and vesting terms relating to 2,204,174 options for ordinary shares held by certain employees (the “Amended Options”),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980" w:type="dxa"/>
            <w:vAlign w:val="bottom"/>
            <w:gridSpan w:val="4"/>
          </w:tcPr>
          <w:p>
            <w:pPr>
              <w:ind w:left="800"/>
              <w:spacing w:after="0"/>
              <w:rPr>
                <w:sz w:val="20"/>
                <w:szCs w:val="20"/>
                <w:color w:val="auto"/>
              </w:rPr>
            </w:pPr>
            <w:r>
              <w:rPr>
                <w:rFonts w:ascii="Arial" w:cs="Arial" w:eastAsia="Arial" w:hAnsi="Arial"/>
                <w:sz w:val="14"/>
                <w:szCs w:val="14"/>
                <w:b w:val="1"/>
                <w:bCs w:val="1"/>
                <w:color w:val="auto"/>
              </w:rPr>
              <w:t>Originally granted</w:t>
            </w:r>
          </w:p>
        </w:tc>
        <w:tc>
          <w:tcPr>
            <w:tcW w:w="2380" w:type="dxa"/>
            <w:vAlign w:val="bottom"/>
            <w:gridSpan w:val="3"/>
          </w:tcPr>
          <w:p>
            <w:pPr>
              <w:ind w:left="620"/>
              <w:spacing w:after="0"/>
              <w:rPr>
                <w:sz w:val="20"/>
                <w:szCs w:val="20"/>
                <w:color w:val="auto"/>
              </w:rPr>
            </w:pPr>
            <w:r>
              <w:rPr>
                <w:rFonts w:ascii="Arial" w:cs="Arial" w:eastAsia="Arial" w:hAnsi="Arial"/>
                <w:sz w:val="14"/>
                <w:szCs w:val="14"/>
                <w:b w:val="1"/>
                <w:bCs w:val="1"/>
                <w:color w:val="auto"/>
              </w:rPr>
              <w:t>Amended Granted</w:t>
            </w:r>
          </w:p>
        </w:tc>
        <w:tc>
          <w:tcPr>
            <w:tcW w:w="0" w:type="dxa"/>
            <w:vAlign w:val="bottom"/>
          </w:tcPr>
          <w:p>
            <w:pPr>
              <w:spacing w:after="0"/>
              <w:rPr>
                <w:sz w:val="1"/>
                <w:szCs w:val="1"/>
                <w:color w:val="auto"/>
              </w:rPr>
            </w:pPr>
          </w:p>
        </w:tc>
      </w:tr>
      <w:tr>
        <w:trPr>
          <w:trHeight w:val="119"/>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2"/>
              </w:rPr>
              <w:t>Grated date</w:t>
            </w:r>
          </w:p>
        </w:tc>
        <w:tc>
          <w:tcPr>
            <w:tcW w:w="3760" w:type="dxa"/>
            <w:vAlign w:val="bottom"/>
            <w:vMerge w:val="restart"/>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Exercise price</w:t>
            </w:r>
          </w:p>
        </w:tc>
        <w:tc>
          <w:tcPr>
            <w:tcW w:w="20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Exercisable date</w:t>
            </w:r>
          </w:p>
        </w:tc>
        <w:tc>
          <w:tcPr>
            <w:tcW w:w="220" w:type="dxa"/>
            <w:vAlign w:val="bottom"/>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Exercise price</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Exercisable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11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options</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(GBP)</w:t>
            </w:r>
          </w:p>
        </w:tc>
        <w:tc>
          <w:tcPr>
            <w:tcW w:w="200" w:type="dxa"/>
            <w:vAlign w:val="bottom"/>
          </w:tcPr>
          <w:p>
            <w:pPr>
              <w:spacing w:after="0"/>
              <w:rPr>
                <w:sz w:val="15"/>
                <w:szCs w:val="15"/>
                <w:color w:val="auto"/>
              </w:rPr>
            </w:pPr>
          </w:p>
        </w:tc>
        <w:tc>
          <w:tcPr>
            <w:tcW w:w="17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6"/>
              </w:rPr>
              <w:t>from</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(GBP)</w:t>
            </w:r>
          </w:p>
        </w:tc>
        <w:tc>
          <w:tcPr>
            <w:tcW w:w="220" w:type="dxa"/>
            <w:vAlign w:val="bottom"/>
          </w:tcPr>
          <w:p>
            <w:pPr>
              <w:spacing w:after="0"/>
              <w:rPr>
                <w:sz w:val="15"/>
                <w:szCs w:val="15"/>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date from</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20, 2017</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217,000</w:t>
            </w: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2.44</w:t>
            </w: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20, 2019</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1.60</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July 28, 2021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June 18, 2017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116,000</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2.99</w:t>
            </w:r>
          </w:p>
        </w:tc>
        <w:tc>
          <w:tcPr>
            <w:tcW w:w="1980" w:type="dxa"/>
            <w:vAlign w:val="bottom"/>
            <w:gridSpan w:val="3"/>
          </w:tcPr>
          <w:p>
            <w:pPr>
              <w:ind w:left="200"/>
              <w:spacing w:after="0"/>
              <w:rPr>
                <w:sz w:val="20"/>
                <w:szCs w:val="20"/>
                <w:color w:val="auto"/>
              </w:rPr>
            </w:pPr>
            <w:r>
              <w:rPr>
                <w:rFonts w:ascii="Arial" w:cs="Arial" w:eastAsia="Arial" w:hAnsi="Arial"/>
                <w:sz w:val="18"/>
                <w:szCs w:val="18"/>
                <w:color w:val="auto"/>
              </w:rPr>
              <w:t>June 18, 2019</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1.60</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July 28, 2021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5, 2017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391,000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4.31</w:t>
            </w:r>
          </w:p>
        </w:tc>
        <w:tc>
          <w:tcPr>
            <w:tcW w:w="1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November 5, 2019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1.60</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July 28, 2021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January 23, 2018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1,163,000</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4.37</w:t>
            </w:r>
          </w:p>
        </w:tc>
        <w:tc>
          <w:tcPr>
            <w:tcW w:w="1980" w:type="dxa"/>
            <w:vAlign w:val="bottom"/>
            <w:gridSpan w:val="3"/>
          </w:tcPr>
          <w:p>
            <w:pPr>
              <w:ind w:left="200"/>
              <w:spacing w:after="0"/>
              <w:rPr>
                <w:sz w:val="20"/>
                <w:szCs w:val="20"/>
                <w:color w:val="auto"/>
              </w:rPr>
            </w:pPr>
            <w:r>
              <w:rPr>
                <w:rFonts w:ascii="Arial" w:cs="Arial" w:eastAsia="Arial" w:hAnsi="Arial"/>
                <w:sz w:val="18"/>
                <w:szCs w:val="18"/>
                <w:color w:val="auto"/>
              </w:rPr>
              <w:t>January 23, 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1.60</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July 31, 2021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 2018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4.37</w:t>
            </w:r>
          </w:p>
        </w:tc>
        <w:tc>
          <w:tcPr>
            <w:tcW w:w="1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June 20, 2020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1.60</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July 31, 2021</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April 2, 2019 (*)</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265,174</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2.06-18.27</w:t>
            </w:r>
          </w:p>
        </w:tc>
        <w:tc>
          <w:tcPr>
            <w:tcW w:w="1980" w:type="dxa"/>
            <w:vAlign w:val="bottom"/>
            <w:gridSpan w:val="3"/>
          </w:tcPr>
          <w:p>
            <w:pPr>
              <w:ind w:left="200"/>
              <w:spacing w:after="0"/>
              <w:rPr>
                <w:sz w:val="20"/>
                <w:szCs w:val="20"/>
                <w:color w:val="auto"/>
              </w:rPr>
            </w:pPr>
            <w:r>
              <w:rPr>
                <w:rFonts w:ascii="Arial" w:cs="Arial" w:eastAsia="Arial" w:hAnsi="Arial"/>
                <w:sz w:val="18"/>
                <w:szCs w:val="18"/>
                <w:color w:val="auto"/>
              </w:rPr>
              <w:t>April 2, 2019</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1.60</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July 28, 2021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Granted as part of RhythmOne’s acquisition as listed above.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SHARE-BASED PAYMENT ARRANGEMENTS (Cont.)</w:t>
      </w:r>
    </w:p>
    <w:p>
      <w:pPr>
        <w:spacing w:after="0" w:line="135" w:lineRule="exact"/>
        <w:rPr>
          <w:sz w:val="20"/>
          <w:szCs w:val="20"/>
          <w:color w:val="auto"/>
        </w:rPr>
      </w:pPr>
    </w:p>
    <w:p>
      <w:pPr>
        <w:jc w:val="both"/>
        <w:ind w:left="1760" w:right="20"/>
        <w:spacing w:after="0" w:line="286" w:lineRule="auto"/>
        <w:rPr>
          <w:sz w:val="20"/>
          <w:szCs w:val="20"/>
          <w:color w:val="auto"/>
        </w:rPr>
      </w:pPr>
      <w:r>
        <w:rPr>
          <w:rFonts w:ascii="Arial" w:cs="Arial" w:eastAsia="Arial" w:hAnsi="Arial"/>
          <w:sz w:val="17"/>
          <w:szCs w:val="17"/>
          <w:color w:val="auto"/>
        </w:rPr>
        <w:t>The options that had a vesting date up to July 2021 will now vest and become exercisable on July 2021, while the vesting and exercise periods of the rest of the options remain unchanged. The incremental fair value (amounting to USD 1,282 thousand) is recognized over the remaining vesting period. The new expiration date is one year after the last exercise date.</w:t>
      </w:r>
    </w:p>
    <w:p>
      <w:pPr>
        <w:spacing w:after="0" w:line="26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Information on measurement of fair value of share-based payment plans:</w:t>
      </w:r>
    </w:p>
    <w:p>
      <w:pPr>
        <w:spacing w:after="0" w:line="121" w:lineRule="exact"/>
        <w:rPr>
          <w:sz w:val="20"/>
          <w:szCs w:val="20"/>
          <w:color w:val="auto"/>
        </w:rPr>
      </w:pPr>
    </w:p>
    <w:p>
      <w:pPr>
        <w:jc w:val="both"/>
        <w:ind w:left="1760"/>
        <w:spacing w:after="0" w:line="263" w:lineRule="auto"/>
        <w:rPr>
          <w:sz w:val="20"/>
          <w:szCs w:val="20"/>
          <w:color w:val="auto"/>
        </w:rPr>
      </w:pPr>
      <w:r>
        <w:rPr>
          <w:rFonts w:ascii="Arial" w:cs="Arial" w:eastAsia="Arial" w:hAnsi="Arial"/>
          <w:sz w:val="18"/>
          <w:szCs w:val="18"/>
          <w:color w:val="auto"/>
        </w:rPr>
        <w:t>The fair value of employees share options is measured using the Black-Scholes formula. Measurement inputs include the share price on the measurement date, the exercise price of the instrument, expected volatility, expected term of the instruments, expected dividends, and the risk-free interest rate (based on government debentures) (See Note 3i).</w:t>
      </w:r>
    </w:p>
    <w:p>
      <w:pPr>
        <w:spacing w:after="0" w:line="76"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The parameters used in the measurement of the fair values at grant date of the equity-settled share-based payment plans were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7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Grant date fair value in USD</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0.76-1.267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0.01-0.56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 price (on grant date) (in GBP)</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1.27-2.22</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GBP)</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1.38-2.24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1.56-18.27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volatility (weighted average)</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45%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(weighted average)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3.5-3.75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0-3.38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dividends</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0.15%-1.46%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w:t>
            </w:r>
          </w:p>
        </w:tc>
      </w:tr>
    </w:tbl>
    <w:p>
      <w:pPr>
        <w:spacing w:after="0" w:line="202" w:lineRule="exact"/>
        <w:rPr>
          <w:sz w:val="20"/>
          <w:szCs w:val="20"/>
          <w:color w:val="auto"/>
        </w:rPr>
      </w:pPr>
    </w:p>
    <w:p>
      <w:pPr>
        <w:ind w:left="1760" w:right="20"/>
        <w:spacing w:after="0" w:line="277" w:lineRule="auto"/>
        <w:rPr>
          <w:sz w:val="20"/>
          <w:szCs w:val="20"/>
          <w:color w:val="auto"/>
        </w:rPr>
      </w:pPr>
      <w:r>
        <w:rPr>
          <w:rFonts w:ascii="Arial" w:cs="Arial" w:eastAsia="Arial" w:hAnsi="Arial"/>
          <w:sz w:val="18"/>
          <w:szCs w:val="18"/>
          <w:color w:val="auto"/>
        </w:rPr>
        <w:t>The total expense recognized in the year ended December 31, 2020 with respect to the options granted to employees, amounted to approximately USD 2,693 thousand.</w:t>
      </w:r>
    </w:p>
    <w:p>
      <w:pPr>
        <w:spacing w:after="0" w:line="315" w:lineRule="exact"/>
        <w:rPr>
          <w:sz w:val="20"/>
          <w:szCs w:val="20"/>
          <w:color w:val="auto"/>
        </w:rPr>
      </w:pPr>
    </w:p>
    <w:p>
      <w:pPr>
        <w:ind w:left="1740" w:hanging="423"/>
        <w:spacing w:after="0"/>
        <w:tabs>
          <w:tab w:leader="none" w:pos="17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 Units:</w:t>
      </w:r>
    </w:p>
    <w:p>
      <w:pPr>
        <w:spacing w:after="0" w:line="121" w:lineRule="exact"/>
        <w:rPr>
          <w:rFonts w:ascii="Arial" w:cs="Arial" w:eastAsia="Arial" w:hAnsi="Arial"/>
          <w:sz w:val="18"/>
          <w:szCs w:val="18"/>
          <w:b w:val="1"/>
          <w:bCs w:val="1"/>
          <w:color w:val="auto"/>
        </w:rPr>
      </w:pPr>
    </w:p>
    <w:p>
      <w:pPr>
        <w:ind w:lef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2020 and 2019, the Group granted 3,334,074 and 5,220,480 Restricted Share Units (RSU’s) to its executive officers and employees, respectively.</w:t>
      </w:r>
    </w:p>
    <w:p>
      <w:pPr>
        <w:spacing w:after="0" w:line="62"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The number of restricted share units is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8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Number of RSU’s</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rPr>
              <w:t>(Thousands)</w:t>
            </w:r>
          </w:p>
        </w:tc>
        <w:tc>
          <w:tcPr>
            <w:tcW w:w="4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 January</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3,969</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7"/>
              </w:rPr>
              <w:t>2.372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(46)</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(198)</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2.511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(3,480)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(2,077)</w:t>
            </w: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7"/>
              </w:rPr>
              <w:t>2.296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w w:val="88"/>
              </w:rPr>
              <w:t>2,919</w:t>
            </w:r>
          </w:p>
        </w:tc>
        <w:tc>
          <w:tcPr>
            <w:tcW w:w="4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4,350</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2.538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assumed in acquisition during the year</w:t>
            </w: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415</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870</w:t>
            </w: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7"/>
              </w:rPr>
              <w:t>2.786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3,777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400" w:type="dxa"/>
            <w:vAlign w:val="bottom"/>
          </w:tcPr>
          <w:p>
            <w:pPr>
              <w:spacing w:after="0"/>
              <w:rPr>
                <w:sz w:val="19"/>
                <w:szCs w:val="19"/>
                <w:color w:val="auto"/>
              </w:rPr>
            </w:pP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2.364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760" w:right="20"/>
        <w:spacing w:after="0" w:line="277" w:lineRule="auto"/>
        <w:rPr>
          <w:sz w:val="20"/>
          <w:szCs w:val="20"/>
          <w:color w:val="auto"/>
        </w:rPr>
      </w:pPr>
      <w:r>
        <w:rPr>
          <w:rFonts w:ascii="Arial" w:cs="Arial" w:eastAsia="Arial" w:hAnsi="Arial"/>
          <w:sz w:val="18"/>
          <w:szCs w:val="18"/>
          <w:color w:val="auto"/>
        </w:rPr>
        <w:t>The total expense recognized in the year ended December 31, 2020 with respect to the options granted to employees, amounted to approximately USD 7,443 thousand.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SHARE-BASED PAYMENT ARRANGEMENTS (Cont.)</w:t>
      </w:r>
    </w:p>
    <w:p>
      <w:pPr>
        <w:spacing w:after="0" w:line="131" w:lineRule="exact"/>
        <w:rPr>
          <w:sz w:val="20"/>
          <w:szCs w:val="20"/>
          <w:color w:val="auto"/>
        </w:rPr>
      </w:pPr>
    </w:p>
    <w:p>
      <w:pPr>
        <w:ind w:left="1740" w:hanging="423"/>
        <w:spacing w:after="0"/>
        <w:tabs>
          <w:tab w:leader="none" w:pos="17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Stock Units:</w:t>
      </w:r>
    </w:p>
    <w:p>
      <w:pPr>
        <w:spacing w:after="0" w:line="121" w:lineRule="exact"/>
        <w:rPr>
          <w:rFonts w:ascii="Arial" w:cs="Arial" w:eastAsia="Arial" w:hAnsi="Arial"/>
          <w:sz w:val="18"/>
          <w:szCs w:val="18"/>
          <w:b w:val="1"/>
          <w:bCs w:val="1"/>
          <w:color w:val="auto"/>
        </w:rPr>
      </w:pPr>
    </w:p>
    <w:p>
      <w:pPr>
        <w:ind w:lef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2020 and 2019, the Group granted 725,000 and 4,350,796 Performance Stock Units (PSU’s) to its executive officers, respectively.</w:t>
      </w:r>
    </w:p>
    <w:p>
      <w:pPr>
        <w:spacing w:after="0" w:line="62"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The number of performance stock units is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60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Number of PSU’s</w:t>
            </w: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gridSpan w:val="3"/>
          </w:tcPr>
          <w:p>
            <w:pPr>
              <w:jc w:val="right"/>
              <w:ind w:right="173"/>
              <w:spacing w:after="0" w:line="142" w:lineRule="exact"/>
              <w:rPr>
                <w:sz w:val="20"/>
                <w:szCs w:val="20"/>
                <w:color w:val="auto"/>
              </w:rPr>
            </w:pPr>
            <w:r>
              <w:rPr>
                <w:rFonts w:ascii="Arial" w:cs="Arial" w:eastAsia="Arial" w:hAnsi="Arial"/>
                <w:sz w:val="14"/>
                <w:szCs w:val="14"/>
                <w:b w:val="1"/>
                <w:bCs w:val="1"/>
                <w:color w:val="auto"/>
              </w:rPr>
              <w:t>(Thousands)</w:t>
            </w:r>
          </w:p>
        </w:tc>
        <w:tc>
          <w:tcPr>
            <w:tcW w:w="3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7"/>
              </w:rPr>
              <w:t>2.105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8"/>
              <w:spacing w:after="0"/>
              <w:rPr>
                <w:sz w:val="20"/>
                <w:szCs w:val="20"/>
                <w:color w:val="auto"/>
              </w:rPr>
            </w:pPr>
            <w:r>
              <w:rPr>
                <w:rFonts w:ascii="Arial" w:cs="Arial" w:eastAsia="Arial" w:hAnsi="Arial"/>
                <w:sz w:val="18"/>
                <w:szCs w:val="18"/>
                <w:color w:val="auto"/>
                <w:w w:val="97"/>
              </w:rPr>
              <w:t>2.211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(1,738)</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7"/>
              </w:rPr>
              <w:t>2.185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520" w:type="dxa"/>
            <w:vAlign w:val="bottom"/>
          </w:tcPr>
          <w:p>
            <w:pPr>
              <w:jc w:val="right"/>
              <w:spacing w:after="0"/>
              <w:rPr>
                <w:sz w:val="20"/>
                <w:szCs w:val="20"/>
                <w:color w:val="auto"/>
              </w:rPr>
            </w:pPr>
            <w:r>
              <w:rPr>
                <w:rFonts w:ascii="Arial" w:cs="Arial" w:eastAsia="Arial" w:hAnsi="Arial"/>
                <w:sz w:val="18"/>
                <w:szCs w:val="18"/>
                <w:color w:val="auto"/>
              </w:rPr>
              <w:t>725</w:t>
            </w:r>
          </w:p>
        </w:tc>
        <w:tc>
          <w:tcPr>
            <w:tcW w:w="3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4,351</w:t>
            </w:r>
          </w:p>
        </w:tc>
        <w:tc>
          <w:tcPr>
            <w:tcW w:w="620" w:type="dxa"/>
            <w:vAlign w:val="bottom"/>
          </w:tcPr>
          <w:p>
            <w:pPr>
              <w:jc w:val="right"/>
              <w:ind w:right="78"/>
              <w:spacing w:after="0"/>
              <w:rPr>
                <w:sz w:val="20"/>
                <w:szCs w:val="20"/>
                <w:color w:val="auto"/>
              </w:rPr>
            </w:pPr>
            <w:r>
              <w:rPr>
                <w:rFonts w:ascii="Arial" w:cs="Arial" w:eastAsia="Arial" w:hAnsi="Arial"/>
                <w:sz w:val="18"/>
                <w:szCs w:val="18"/>
                <w:color w:val="auto"/>
                <w:w w:val="97"/>
              </w:rPr>
              <w:t>2.592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5,071</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7"/>
              </w:rPr>
              <w:t>2.155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The vesting of the PSU’s is subject to continues employment and compliance with the performance criteria determined by the Company’s Remuneration Committee and the Company’s Board of Directors.</w:t>
      </w:r>
    </w:p>
    <w:p>
      <w:pPr>
        <w:spacing w:after="0" w:line="62"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The total expense recognized in the year ended December 31, 2020 with respect to the options granted to employees, amounted to approximately USD 4,354 thousand.</w:t>
      </w:r>
    </w:p>
    <w:p>
      <w:pPr>
        <w:spacing w:after="0" w:line="72" w:lineRule="exact"/>
        <w:rPr>
          <w:sz w:val="20"/>
          <w:szCs w:val="20"/>
          <w:color w:val="auto"/>
        </w:rPr>
      </w:pPr>
    </w:p>
    <w:p>
      <w:pPr>
        <w:ind w:left="1740" w:hanging="423"/>
        <w:spacing w:after="0"/>
        <w:tabs>
          <w:tab w:leader="none" w:pos="17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Expense recognized in the statement of operation and other comprehensive income is as follows:</w:t>
      </w:r>
    </w:p>
    <w:p>
      <w:pPr>
        <w:spacing w:after="0" w:line="248"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Year ended</w:t>
      </w:r>
    </w:p>
    <w:p>
      <w:pPr>
        <w:jc w:val="center"/>
        <w:ind w:left="66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7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gridSpan w:val="4"/>
          </w:tcPr>
          <w:p>
            <w:pPr>
              <w:jc w:val="right"/>
              <w:ind w:right="214"/>
              <w:spacing w:after="0" w:line="142" w:lineRule="exact"/>
              <w:rPr>
                <w:sz w:val="20"/>
                <w:szCs w:val="20"/>
                <w:color w:val="auto"/>
              </w:rPr>
            </w:pPr>
            <w:r>
              <w:rPr>
                <w:rFonts w:ascii="Arial" w:cs="Arial" w:eastAsia="Arial" w:hAnsi="Arial"/>
                <w:sz w:val="14"/>
                <w:szCs w:val="14"/>
                <w:b w:val="1"/>
                <w:bCs w:val="1"/>
                <w:color w:val="auto"/>
              </w:rPr>
              <w:t>USD thousands</w:t>
            </w:r>
          </w:p>
        </w:tc>
        <w:tc>
          <w:tcPr>
            <w:tcW w:w="6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14,100</w:t>
            </w:r>
          </w:p>
        </w:tc>
      </w:tr>
      <w:tr>
        <w:trPr>
          <w:trHeight w:val="223"/>
        </w:trPr>
        <w:tc>
          <w:tcPr>
            <w:tcW w:w="67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15,809</w:t>
            </w:r>
          </w:p>
        </w:tc>
        <w:tc>
          <w:tcPr>
            <w:tcW w:w="6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FINANCIAL INSTRUMENTS</w:t>
      </w:r>
    </w:p>
    <w:p>
      <w:pPr>
        <w:spacing w:after="0" w:line="131" w:lineRule="exact"/>
        <w:rPr>
          <w:sz w:val="20"/>
          <w:szCs w:val="20"/>
          <w:color w:val="auto"/>
        </w:rPr>
      </w:pPr>
    </w:p>
    <w:p>
      <w:pPr>
        <w:ind w:left="1740" w:hanging="423"/>
        <w:spacing w:after="0"/>
        <w:tabs>
          <w:tab w:leader="none" w:pos="17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121"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The Group has exposure to the following risks from its use of financial instruments:</w:t>
      </w:r>
    </w:p>
    <w:p>
      <w:pPr>
        <w:spacing w:after="0" w:line="130" w:lineRule="exact"/>
        <w:rPr>
          <w:rFonts w:ascii="Arial" w:cs="Arial" w:eastAsia="Arial" w:hAnsi="Arial"/>
          <w:sz w:val="18"/>
          <w:szCs w:val="18"/>
          <w:b w:val="1"/>
          <w:bCs w:val="1"/>
          <w:color w:val="auto"/>
        </w:rPr>
      </w:pPr>
    </w:p>
    <w:p>
      <w:pPr>
        <w:ind w:left="2300" w:hanging="537"/>
        <w:spacing w:after="0"/>
        <w:tabs>
          <w:tab w:leader="none" w:pos="2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130" w:lineRule="exact"/>
        <w:rPr>
          <w:rFonts w:ascii="Arial" w:cs="Arial" w:eastAsia="Arial" w:hAnsi="Arial"/>
          <w:sz w:val="18"/>
          <w:szCs w:val="18"/>
          <w:color w:val="auto"/>
        </w:rPr>
      </w:pPr>
    </w:p>
    <w:p>
      <w:pPr>
        <w:ind w:left="2300" w:hanging="537"/>
        <w:spacing w:after="0"/>
        <w:tabs>
          <w:tab w:leader="none" w:pos="2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Market risk</w:t>
      </w:r>
    </w:p>
    <w:p>
      <w:pPr>
        <w:spacing w:after="0" w:line="117"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This note presents quantitative and qualitative information about the Group’s exposure to each of the above risks, and the Group’s objectives, policies and processes for measuring and managing risk.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FINANCIAL INSTRUMENTS (Cont.)</w:t>
      </w:r>
    </w:p>
    <w:p>
      <w:pPr>
        <w:spacing w:after="0" w:line="13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In order to manage these risks and as described hereunder, the Group executes transactions in derivative financial instruments.</w:t>
      </w:r>
    </w:p>
    <w:p>
      <w:pPr>
        <w:spacing w:after="0" w:line="4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Presented hereunder is the composition of the derivatives: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1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18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7"/>
              </w:rPr>
              <w:t>USD thousands</w:t>
            </w:r>
          </w:p>
        </w:tc>
        <w:tc>
          <w:tcPr>
            <w:tcW w:w="60" w:type="dxa"/>
            <w:vAlign w:val="bottom"/>
            <w:tcBorders>
              <w:bottom w:val="single" w:sz="8" w:color="CCEEFF"/>
            </w:tcBorders>
          </w:tcPr>
          <w:p>
            <w:pPr>
              <w:spacing w:after="0"/>
              <w:rPr>
                <w:sz w:val="12"/>
                <w:szCs w:val="12"/>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presented under current assets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Forward exchange contracts used for hedging</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836</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presented under non-current assets</w:t>
            </w: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Forward exchange contracts used for hedging</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1,335</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2,171</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r>
      <w:tr>
        <w:trPr>
          <w:trHeight w:val="20"/>
        </w:trPr>
        <w:tc>
          <w:tcPr>
            <w:tcW w:w="7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1740" w:hanging="423"/>
        <w:spacing w:after="0"/>
        <w:tabs>
          <w:tab w:leader="none" w:pos="17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 framework:</w:t>
      </w:r>
    </w:p>
    <w:p>
      <w:pPr>
        <w:spacing w:after="0" w:line="121"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has overall responsibility for the establishment and oversight of the Group’s risk management framework. The Board is responsible for developing and monitoring the Group’s risk management policies.</w:t>
      </w:r>
    </w:p>
    <w:p>
      <w:pPr>
        <w:spacing w:after="0" w:line="62" w:lineRule="exact"/>
        <w:rPr>
          <w:rFonts w:ascii="Arial" w:cs="Arial" w:eastAsia="Arial" w:hAnsi="Arial"/>
          <w:sz w:val="18"/>
          <w:szCs w:val="18"/>
          <w:b w:val="1"/>
          <w:bCs w:val="1"/>
          <w:color w:val="auto"/>
        </w:rPr>
      </w:pPr>
    </w:p>
    <w:p>
      <w:pPr>
        <w:jc w:val="both"/>
        <w:ind w:left="17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risk management policies are established to identify and analyze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of standards and procedures, aims to develop a disciplined and constructive control environment in which all employees understand their roles and obligations.</w:t>
      </w:r>
    </w:p>
    <w:p>
      <w:pPr>
        <w:spacing w:after="0" w:line="79" w:lineRule="exact"/>
        <w:rPr>
          <w:rFonts w:ascii="Arial" w:cs="Arial" w:eastAsia="Arial" w:hAnsi="Arial"/>
          <w:sz w:val="18"/>
          <w:szCs w:val="18"/>
          <w:b w:val="1"/>
          <w:bCs w:val="1"/>
          <w:color w:val="auto"/>
        </w:rPr>
      </w:pPr>
    </w:p>
    <w:p>
      <w:pPr>
        <w:jc w:val="both"/>
        <w:ind w:left="17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Audit Committee oversees how management monitors compliance with the Group’s risk management policies and procedures and reviews the adequacy of the risk management framework in relation to the risks faced by the Group. The Group Audit Committee is assisted in its oversight role by Internal Audit. Internal Audit undertakes both regular and ad hoc reviews of risk management controls and procedures, the results of which are reported to the Audit Committee.</w:t>
      </w:r>
    </w:p>
    <w:p>
      <w:pPr>
        <w:spacing w:after="0" w:line="315" w:lineRule="exact"/>
        <w:rPr>
          <w:rFonts w:ascii="Arial" w:cs="Arial" w:eastAsia="Arial" w:hAnsi="Arial"/>
          <w:sz w:val="18"/>
          <w:szCs w:val="18"/>
          <w:b w:val="1"/>
          <w:bCs w:val="1"/>
          <w:color w:val="auto"/>
        </w:rPr>
      </w:pPr>
    </w:p>
    <w:p>
      <w:pPr>
        <w:ind w:left="1740" w:hanging="423"/>
        <w:spacing w:after="0"/>
        <w:tabs>
          <w:tab w:leader="none" w:pos="17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Group’s credit risk is arise from the risk of financial loss if a customer or counterparty to a financial instrument fails to meet its contractual obligations.</w:t>
      </w:r>
    </w:p>
    <w:p>
      <w:pPr>
        <w:spacing w:after="0" w:line="314" w:lineRule="exact"/>
        <w:rPr>
          <w:rFonts w:ascii="Arial" w:cs="Arial" w:eastAsia="Arial" w:hAnsi="Arial"/>
          <w:sz w:val="18"/>
          <w:szCs w:val="18"/>
          <w:b w:val="1"/>
          <w:bCs w:val="1"/>
          <w:color w:val="auto"/>
        </w:rPr>
      </w:pPr>
    </w:p>
    <w:p>
      <w:pPr>
        <w:ind w:left="1740" w:hanging="423"/>
        <w:spacing w:after="0"/>
        <w:tabs>
          <w:tab w:leader="none" w:pos="17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Exposure to credit risk</w:t>
      </w:r>
    </w:p>
    <w:p>
      <w:pPr>
        <w:spacing w:after="0" w:line="121"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 of financial assets represents the maximum credit exposure.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NOTE 17:</w:t>
            </w:r>
          </w:p>
        </w:tc>
        <w:tc>
          <w:tcPr>
            <w:tcW w:w="67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INSTRUMENTS (Cont.)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The maximum exposure to credit risk at the reporting date was as follows: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gridSpan w:val="4"/>
          </w:tcPr>
          <w:p>
            <w:pPr>
              <w:jc w:val="right"/>
              <w:ind w:right="373"/>
              <w:spacing w:after="0" w:line="142" w:lineRule="exact"/>
              <w:rPr>
                <w:sz w:val="20"/>
                <w:szCs w:val="20"/>
                <w:color w:val="auto"/>
              </w:rPr>
            </w:pPr>
            <w:r>
              <w:rPr>
                <w:rFonts w:ascii="Arial" w:cs="Arial" w:eastAsia="Arial" w:hAnsi="Arial"/>
                <w:sz w:val="14"/>
                <w:szCs w:val="14"/>
                <w:b w:val="1"/>
                <w:bCs w:val="1"/>
                <w:color w:val="auto"/>
              </w:rPr>
              <w:t>USD thousands</w:t>
            </w:r>
          </w:p>
        </w:tc>
        <w:tc>
          <w:tcPr>
            <w:tcW w:w="60" w:type="dxa"/>
            <w:vAlign w:val="bottom"/>
            <w:tcBorders>
              <w:bottom w:val="single" w:sz="8" w:color="CCEEFF"/>
            </w:tcBorders>
          </w:tcPr>
          <w:p>
            <w:pPr>
              <w:spacing w:after="0"/>
              <w:rPr>
                <w:sz w:val="12"/>
                <w:szCs w:val="12"/>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97,463</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79,047</w:t>
            </w:r>
          </w:p>
        </w:tc>
        <w:tc>
          <w:tcPr>
            <w:tcW w:w="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Trade receivables, net (a)</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153,544</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96,829</w:t>
            </w: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1,567</w:t>
            </w: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long term deposit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r>
      <w:tr>
        <w:trPr>
          <w:trHeight w:val="216"/>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Long Term Receivables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r>
      <w:tr>
        <w:trPr>
          <w:trHeight w:val="223"/>
        </w:trPr>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255,220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178,775</w:t>
            </w:r>
          </w:p>
        </w:tc>
        <w:tc>
          <w:tcPr>
            <w:tcW w:w="6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7"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At December 31, 2020, the Group included provision for doubtful debts in the amount of USD 9,036 thousand (December 31, 2019: USD 22,376 thousand) in respect of collective impairment provision and specific debtors that their collectability is in doubt.</w:t>
      </w:r>
    </w:p>
    <w:p>
      <w:pPr>
        <w:spacing w:after="0" w:line="18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Allowance for</w:t>
      </w:r>
    </w:p>
    <w:p>
      <w:pPr>
        <w:ind w:left="8440"/>
        <w:spacing w:after="0" w:line="236" w:lineRule="auto"/>
        <w:rPr>
          <w:sz w:val="20"/>
          <w:szCs w:val="20"/>
          <w:color w:val="auto"/>
        </w:rPr>
      </w:pPr>
      <w:r>
        <w:rPr>
          <w:rFonts w:ascii="Arial" w:cs="Arial" w:eastAsia="Arial" w:hAnsi="Arial"/>
          <w:sz w:val="14"/>
          <w:szCs w:val="14"/>
          <w:b w:val="1"/>
          <w:bCs w:val="1"/>
          <w:color w:val="auto"/>
        </w:rPr>
        <w:t>Doubtful debts</w:t>
      </w:r>
    </w:p>
    <w:tbl>
      <w:tblPr>
        <w:tblLayout w:type="fixed"/>
        <w:tblInd w:w="1440" w:type="dxa"/>
        <w:tblCellMar>
          <w:top w:w="0" w:type="dxa"/>
          <w:left w:w="0" w:type="dxa"/>
          <w:bottom w:w="0" w:type="dxa"/>
          <w:right w:w="0" w:type="dxa"/>
        </w:tblCellMar>
      </w:tblPr>
      <w:tr>
        <w:trPr>
          <w:trHeight w:val="142"/>
        </w:trPr>
        <w:tc>
          <w:tcPr>
            <w:tcW w:w="66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4"/>
          </w:tcPr>
          <w:p>
            <w:pPr>
              <w:jc w:val="right"/>
              <w:ind w:right="213"/>
              <w:spacing w:after="0" w:line="142" w:lineRule="exact"/>
              <w:rPr>
                <w:sz w:val="20"/>
                <w:szCs w:val="20"/>
                <w:color w:val="auto"/>
              </w:rPr>
            </w:pPr>
            <w:r>
              <w:rPr>
                <w:rFonts w:ascii="Arial" w:cs="Arial" w:eastAsia="Arial" w:hAnsi="Arial"/>
                <w:sz w:val="14"/>
                <w:szCs w:val="14"/>
                <w:b w:val="1"/>
                <w:bCs w:val="1"/>
                <w:color w:val="auto"/>
              </w:rPr>
              <w:t>USD thousands</w:t>
            </w:r>
          </w:p>
        </w:tc>
        <w:tc>
          <w:tcPr>
            <w:tcW w:w="120" w:type="dxa"/>
            <w:vAlign w:val="bottom"/>
            <w:tcBorders>
              <w:bottom w:val="single" w:sz="8" w:color="CCEEFF"/>
            </w:tcBorders>
          </w:tcPr>
          <w:p>
            <w:pPr>
              <w:spacing w:after="0"/>
              <w:rPr>
                <w:sz w:val="12"/>
                <w:szCs w:val="12"/>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22,376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2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Business combination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1,201</w:t>
            </w:r>
          </w:p>
        </w:tc>
        <w:tc>
          <w:tcPr>
            <w:tcW w:w="3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16,417</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debts expenses</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(1,091)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3,394</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Write-off bad debt</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(13,397)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Balance at December 31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22,376</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1740" w:hanging="423"/>
        <w:spacing w:after="0"/>
        <w:tabs>
          <w:tab w:leader="none" w:pos="17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jc w:val="both"/>
        <w:ind w:left="17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Group will encounter difficulty in meeting the obligations associated with its financial liabilities that are settled by delivering cash or another financial asset. The Group’s approach to managing liquidity is to ensure, as far as possible, that it has sufficient liquidity to meet its liabilities when due, under both normal and stressed conditions, without incurring unacceptable losses or risking damage to the Group’s reputation</w:t>
      </w:r>
    </w:p>
    <w:p>
      <w:pPr>
        <w:spacing w:after="0" w:line="78" w:lineRule="exact"/>
        <w:rPr>
          <w:rFonts w:ascii="Arial" w:cs="Arial" w:eastAsia="Arial" w:hAnsi="Arial"/>
          <w:sz w:val="18"/>
          <w:szCs w:val="18"/>
          <w:b w:val="1"/>
          <w:bCs w:val="1"/>
          <w:color w:val="auto"/>
        </w:rPr>
      </w:pPr>
    </w:p>
    <w:p>
      <w:pPr>
        <w:jc w:val="both"/>
        <w:ind w:left="17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December 31, 2019, the Group’s contractual obligation of financial liability is in respect of leases, trade and other payables in the amount of USD 161,875 thousand and USD 101,008 thousand, respectively. The contractual maturity of the financial liability that is less than one year is in the amount of USD 147,243 thousand and USD 86,376 thousand for December 31, 2020 and December 31, 2019, respectively.</w:t>
      </w:r>
    </w:p>
    <w:p>
      <w:pPr>
        <w:spacing w:after="0" w:line="78" w:lineRule="exact"/>
        <w:rPr>
          <w:rFonts w:ascii="Arial" w:cs="Arial" w:eastAsia="Arial" w:hAnsi="Arial"/>
          <w:sz w:val="18"/>
          <w:szCs w:val="18"/>
          <w:b w:val="1"/>
          <w:bCs w:val="1"/>
          <w:color w:val="auto"/>
        </w:rPr>
      </w:pPr>
    </w:p>
    <w:p>
      <w:pPr>
        <w:jc w:val="both"/>
        <w:ind w:left="17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part of the framework of the acquisition of Adinnovation INC (ADI) on July 17, 2017, the Company has a call option to purchase the remaining 43% of the issued share capital of ADI for a price of 8x net profit and for a period of six months commencing three years after closing. Thereafter, ADI’s minority shareholders have a put option for a period of three months to sell at a price of 7x net profit. As a result of the aforesaid, the Company recognized the acquisition of full control (100%) over ADI and recorded liability inherent in exercise of the option according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FINANCIAL INSTRUMENTS (Cont.)</w:t>
      </w:r>
    </w:p>
    <w:p>
      <w:pPr>
        <w:spacing w:after="0" w:line="135" w:lineRule="exact"/>
        <w:rPr>
          <w:sz w:val="20"/>
          <w:szCs w:val="20"/>
          <w:color w:val="auto"/>
        </w:rPr>
      </w:pPr>
    </w:p>
    <w:p>
      <w:pPr>
        <w:jc w:val="both"/>
        <w:ind w:left="1760" w:right="20"/>
        <w:spacing w:after="0" w:line="257" w:lineRule="auto"/>
        <w:rPr>
          <w:sz w:val="20"/>
          <w:szCs w:val="20"/>
          <w:color w:val="auto"/>
        </w:rPr>
      </w:pPr>
      <w:r>
        <w:rPr>
          <w:rFonts w:ascii="Arial" w:cs="Arial" w:eastAsia="Arial" w:hAnsi="Arial"/>
          <w:sz w:val="18"/>
          <w:szCs w:val="18"/>
          <w:color w:val="auto"/>
        </w:rPr>
        <w:t>to its discounted value. The amount of the liability as at the acquisition date is estimated at USD 8,496 thousand and was estimated based on ADI’s current business results and forecasts of ADI for the third year capitalized with annual discount rate of 2.9%. The Company elected to recognized changes in the value of the liability on every reporting date in shareholders’ equity. In 2019, the Company recorded a revaluation to decrease the liability by USD 1,501 thousand, and in 2020, it was increased by USD 445 thousand.</w:t>
      </w:r>
    </w:p>
    <w:p>
      <w:pPr>
        <w:spacing w:after="0" w:line="80" w:lineRule="exact"/>
        <w:rPr>
          <w:sz w:val="20"/>
          <w:szCs w:val="20"/>
          <w:color w:val="auto"/>
        </w:rPr>
      </w:pPr>
    </w:p>
    <w:p>
      <w:pPr>
        <w:jc w:val="both"/>
        <w:ind w:left="1760"/>
        <w:spacing w:after="0" w:line="259" w:lineRule="auto"/>
        <w:rPr>
          <w:sz w:val="20"/>
          <w:szCs w:val="20"/>
          <w:color w:val="auto"/>
        </w:rPr>
      </w:pPr>
      <w:r>
        <w:rPr>
          <w:rFonts w:ascii="Arial" w:cs="Arial" w:eastAsia="Arial" w:hAnsi="Arial"/>
          <w:sz w:val="18"/>
          <w:szCs w:val="18"/>
          <w:color w:val="auto"/>
        </w:rPr>
        <w:t>In accordance with the terms of the framework acquisition, the Company exercised part of the call option on December 5, 2020, which will increase the Company’s share in ADI to 82%, following the closing, for total consideration of USD 1,734 thousand which was not paid as of December 31, 2020. The remaining value of the option liability as of December 31, 2020 is USD 1,169 thousand (see Note 22).</w:t>
      </w:r>
    </w:p>
    <w:p>
      <w:pPr>
        <w:spacing w:after="0" w:line="331" w:lineRule="exact"/>
        <w:rPr>
          <w:sz w:val="20"/>
          <w:szCs w:val="20"/>
          <w:color w:val="auto"/>
        </w:rPr>
      </w:pPr>
    </w:p>
    <w:p>
      <w:pPr>
        <w:ind w:left="1740" w:hanging="423"/>
        <w:spacing w:after="0"/>
        <w:tabs>
          <w:tab w:leader="none" w:pos="17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Market risk:</w:t>
      </w:r>
    </w:p>
    <w:p>
      <w:pPr>
        <w:spacing w:after="0" w:line="121" w:lineRule="exact"/>
        <w:rPr>
          <w:rFonts w:ascii="Arial" w:cs="Arial" w:eastAsia="Arial" w:hAnsi="Arial"/>
          <w:sz w:val="18"/>
          <w:szCs w:val="18"/>
          <w:b w:val="1"/>
          <w:bCs w:val="1"/>
          <w:color w:val="auto"/>
        </w:rPr>
      </w:pPr>
    </w:p>
    <w:p>
      <w:pPr>
        <w:jc w:val="both"/>
        <w:ind w:left="17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Market risk is the risk that changes in market prices, such as foreign exchange rates, the CPM, interest rates and equity prices will affect the Group’s income or the value of its holdings of financial instruments. The objective of market risk management is to manage and control market risk exposures within acceptable parameters, while optimizing the return.</w:t>
      </w:r>
    </w:p>
    <w:p>
      <w:pPr>
        <w:spacing w:after="0" w:line="57" w:lineRule="exact"/>
        <w:rPr>
          <w:rFonts w:ascii="Arial" w:cs="Arial" w:eastAsia="Arial" w:hAnsi="Arial"/>
          <w:sz w:val="18"/>
          <w:szCs w:val="18"/>
          <w:b w:val="1"/>
          <w:bCs w:val="1"/>
          <w:color w:val="auto"/>
        </w:rPr>
      </w:pPr>
    </w:p>
    <w:p>
      <w:pPr>
        <w:jc w:val="both"/>
        <w:ind w:left="17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2020, USD 371 thousand are held in NIS, USD 7,369 thousand are held in GBP, USD 2,061 thousand are held in EUR, USD 1,369 thousand are held in CAD, USD 6,591 thousand are held in JPY, USD 512 thousands are held in MXN, USD 1,120 thousand are held in SGD, USD 110 thousand are held in KRW, USD 1,835 thousands are held in AUD and USD 700 thousand are held in other currencies and the remainder held in USD.</w:t>
      </w:r>
    </w:p>
    <w:p>
      <w:pPr>
        <w:spacing w:after="0" w:line="331" w:lineRule="exact"/>
        <w:rPr>
          <w:rFonts w:ascii="Arial" w:cs="Arial" w:eastAsia="Arial" w:hAnsi="Arial"/>
          <w:sz w:val="18"/>
          <w:szCs w:val="18"/>
          <w:b w:val="1"/>
          <w:bCs w:val="1"/>
          <w:color w:val="auto"/>
        </w:rPr>
      </w:pPr>
    </w:p>
    <w:p>
      <w:pPr>
        <w:ind w:left="1740" w:hanging="423"/>
        <w:spacing w:after="0"/>
        <w:tabs>
          <w:tab w:leader="none" w:pos="17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rFonts w:ascii="Arial" w:cs="Arial" w:eastAsia="Arial" w:hAnsi="Arial"/>
          <w:sz w:val="18"/>
          <w:szCs w:val="18"/>
          <w:b w:val="1"/>
          <w:bCs w:val="1"/>
          <w:color w:val="auto"/>
        </w:rPr>
      </w:pPr>
    </w:p>
    <w:p>
      <w:pPr>
        <w:jc w:val="both"/>
        <w:ind w:left="17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change as of December 31 in the exchange rates of the following currencies against the USD, as indicated below would have affected the measurement of financial instruments denominated in a foreign currency and would have increased (decreased) profit or loss and shareholders’ equity by the amounts shown below (after tax). This analysis is based on foreign currency exchange rate that the Group considered to be reasonably possible at the end of the reporting period. The analysis assumes that all other variables, in particular interest rates, remain constant and ignores any impact of forecasted sales and purchases. The analysis is performed on the same basis for 2019.</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38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GBP/USD</w:t>
            </w: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+10%</w:t>
            </w: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-10%</w:t>
            </w:r>
          </w:p>
        </w:tc>
        <w:tc>
          <w:tcPr>
            <w:tcW w:w="3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59"/>
              <w:spacing w:after="0" w:line="142" w:lineRule="exact"/>
              <w:rPr>
                <w:sz w:val="20"/>
                <w:szCs w:val="20"/>
                <w:color w:val="auto"/>
              </w:rPr>
            </w:pPr>
            <w:r>
              <w:rPr>
                <w:rFonts w:ascii="Arial" w:cs="Arial" w:eastAsia="Arial" w:hAnsi="Arial"/>
                <w:sz w:val="14"/>
                <w:szCs w:val="14"/>
                <w:b w:val="1"/>
                <w:bCs w:val="1"/>
                <w:color w:val="auto"/>
              </w:rPr>
              <w:t>+10%</w:t>
            </w: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USD thousands</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Profit / (Loss)</w:t>
            </w:r>
          </w:p>
        </w:tc>
        <w:tc>
          <w:tcPr>
            <w:tcW w:w="29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85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720" w:type="dxa"/>
            <w:vAlign w:val="bottom"/>
            <w:shd w:val="clear" w:color="auto" w:fill="CCEEFF"/>
          </w:tcPr>
          <w:p>
            <w:pPr>
              <w:jc w:val="center"/>
              <w:ind w:right="21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Increase / (Decrease) in Shareholders’ Equity</w:t>
            </w:r>
          </w:p>
        </w:tc>
        <w:tc>
          <w:tcPr>
            <w:tcW w:w="3740" w:type="dxa"/>
            <w:vAlign w:val="bottom"/>
            <w:gridSpan w:val="2"/>
          </w:tcPr>
          <w:p>
            <w:pPr>
              <w:jc w:val="right"/>
              <w:ind w:right="159"/>
              <w:spacing w:after="0"/>
              <w:rPr>
                <w:sz w:val="20"/>
                <w:szCs w:val="20"/>
                <w:color w:val="auto"/>
              </w:rPr>
            </w:pPr>
            <w:r>
              <w:rPr>
                <w:rFonts w:ascii="Arial" w:cs="Arial" w:eastAsia="Arial" w:hAnsi="Arial"/>
                <w:sz w:val="18"/>
                <w:szCs w:val="18"/>
                <w:color w:val="auto"/>
              </w:rPr>
              <w:t>(1,139)</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1,139</w:t>
            </w:r>
          </w:p>
        </w:tc>
        <w:tc>
          <w:tcPr>
            <w:tcW w:w="720" w:type="dxa"/>
            <w:vAlign w:val="bottom"/>
          </w:tcPr>
          <w:p>
            <w:pPr>
              <w:jc w:val="right"/>
              <w:ind w:right="259"/>
              <w:spacing w:after="0"/>
              <w:rPr>
                <w:sz w:val="20"/>
                <w:szCs w:val="20"/>
                <w:color w:val="auto"/>
              </w:rPr>
            </w:pPr>
            <w:r>
              <w:rPr>
                <w:rFonts w:ascii="Arial" w:cs="Arial" w:eastAsia="Arial" w:hAnsi="Arial"/>
                <w:sz w:val="18"/>
                <w:szCs w:val="18"/>
                <w:color w:val="auto"/>
              </w:rPr>
              <w:t>479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(479)</w:t>
            </w:r>
          </w:p>
        </w:tc>
        <w:tc>
          <w:tcPr>
            <w:tcW w:w="0" w:type="dxa"/>
            <w:vAlign w:val="bottom"/>
          </w:tcPr>
          <w:p>
            <w:pPr>
              <w:spacing w:after="0"/>
              <w:rPr>
                <w:sz w:val="1"/>
                <w:szCs w:val="1"/>
                <w:color w:val="auto"/>
              </w:rPr>
            </w:pPr>
          </w:p>
        </w:tc>
      </w:tr>
      <w:tr>
        <w:trPr>
          <w:trHeight w:val="350"/>
        </w:trPr>
        <w:tc>
          <w:tcPr>
            <w:tcW w:w="438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NIS/USD</w:t>
            </w: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+10%</w:t>
            </w: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-10%</w:t>
            </w:r>
          </w:p>
        </w:tc>
        <w:tc>
          <w:tcPr>
            <w:tcW w:w="3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59"/>
              <w:spacing w:after="0" w:line="142" w:lineRule="exact"/>
              <w:rPr>
                <w:sz w:val="20"/>
                <w:szCs w:val="20"/>
                <w:color w:val="auto"/>
              </w:rPr>
            </w:pPr>
            <w:r>
              <w:rPr>
                <w:rFonts w:ascii="Arial" w:cs="Arial" w:eastAsia="Arial" w:hAnsi="Arial"/>
                <w:sz w:val="14"/>
                <w:szCs w:val="14"/>
                <w:b w:val="1"/>
                <w:bCs w:val="1"/>
                <w:color w:val="auto"/>
              </w:rPr>
              <w:t>+10%</w:t>
            </w: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USD thousands</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Profit / (Loss)</w:t>
            </w:r>
          </w:p>
        </w:tc>
        <w:tc>
          <w:tcPr>
            <w:tcW w:w="29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(798)</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798</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(790)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Increase / (Decrease) in Shareholders’ Equity</w:t>
            </w:r>
          </w:p>
        </w:tc>
        <w:tc>
          <w:tcPr>
            <w:tcW w:w="3740" w:type="dxa"/>
            <w:vAlign w:val="bottom"/>
            <w:gridSpan w:val="2"/>
          </w:tcPr>
          <w:p>
            <w:pPr>
              <w:jc w:val="right"/>
              <w:ind w:right="219"/>
              <w:spacing w:after="0"/>
              <w:rPr>
                <w:sz w:val="20"/>
                <w:szCs w:val="20"/>
                <w:color w:val="auto"/>
              </w:rPr>
            </w:pPr>
            <w:r>
              <w:rPr>
                <w:rFonts w:ascii="Arial" w:cs="Arial" w:eastAsia="Arial" w:hAnsi="Arial"/>
                <w:sz w:val="18"/>
                <w:szCs w:val="18"/>
                <w:color w:val="auto"/>
              </w:rPr>
              <w:t>835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(835)</w:t>
            </w:r>
          </w:p>
        </w:tc>
        <w:tc>
          <w:tcPr>
            <w:tcW w:w="720" w:type="dxa"/>
            <w:vAlign w:val="bottom"/>
          </w:tcPr>
          <w:p>
            <w:pPr>
              <w:jc w:val="right"/>
              <w:ind w:right="259"/>
              <w:spacing w:after="0"/>
              <w:rPr>
                <w:sz w:val="20"/>
                <w:szCs w:val="20"/>
                <w:color w:val="auto"/>
              </w:rPr>
            </w:pPr>
            <w:r>
              <w:rPr>
                <w:rFonts w:ascii="Arial" w:cs="Arial" w:eastAsia="Arial" w:hAnsi="Arial"/>
                <w:sz w:val="18"/>
                <w:szCs w:val="18"/>
                <w:color w:val="auto"/>
              </w:rPr>
              <w:t>906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(906)</w:t>
            </w:r>
          </w:p>
        </w:tc>
        <w:tc>
          <w:tcPr>
            <w:tcW w:w="0" w:type="dxa"/>
            <w:vAlign w:val="bottom"/>
          </w:tcPr>
          <w:p>
            <w:pPr>
              <w:spacing w:after="0"/>
              <w:rPr>
                <w:sz w:val="1"/>
                <w:szCs w:val="1"/>
                <w:color w:val="auto"/>
              </w:rPr>
            </w:pPr>
          </w:p>
        </w:tc>
      </w:tr>
      <w:tr>
        <w:trPr>
          <w:trHeight w:val="350"/>
        </w:trPr>
        <w:tc>
          <w:tcPr>
            <w:tcW w:w="4380" w:type="dxa"/>
            <w:vAlign w:val="bottom"/>
          </w:tcPr>
          <w:p>
            <w:pPr>
              <w:spacing w:after="0"/>
              <w:rPr>
                <w:sz w:val="24"/>
                <w:szCs w:val="24"/>
                <w:color w:val="auto"/>
              </w:rPr>
            </w:pPr>
          </w:p>
        </w:tc>
        <w:tc>
          <w:tcPr>
            <w:tcW w:w="3740" w:type="dxa"/>
            <w:vAlign w:val="bottom"/>
            <w:gridSpan w:val="2"/>
          </w:tcPr>
          <w:p>
            <w:pPr>
              <w:jc w:val="right"/>
              <w:ind w:right="2799"/>
              <w:spacing w:after="0"/>
              <w:rPr>
                <w:sz w:val="20"/>
                <w:szCs w:val="20"/>
                <w:color w:val="auto"/>
              </w:rPr>
            </w:pPr>
            <w:r>
              <w:rPr>
                <w:rFonts w:ascii="Arial" w:cs="Arial" w:eastAsia="Arial" w:hAnsi="Arial"/>
                <w:sz w:val="18"/>
                <w:szCs w:val="18"/>
                <w:color w:val="auto"/>
              </w:rPr>
              <w:t>F-46</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FINANCIAL INSTRUMENTS (Cont.)</w:t>
      </w:r>
    </w:p>
    <w:p>
      <w:pPr>
        <w:spacing w:after="0" w:line="131"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Linkage and foreign currency risks</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jc w:val="both"/>
        <w:ind w:left="1760"/>
        <w:spacing w:after="0" w:line="263" w:lineRule="auto"/>
        <w:rPr>
          <w:sz w:val="20"/>
          <w:szCs w:val="20"/>
          <w:color w:val="auto"/>
        </w:rPr>
      </w:pPr>
      <w:r>
        <w:rPr>
          <w:rFonts w:ascii="Arial" w:cs="Arial" w:eastAsia="Arial" w:hAnsi="Arial"/>
          <w:sz w:val="18"/>
          <w:szCs w:val="18"/>
          <w:color w:val="auto"/>
        </w:rPr>
        <w:t>The Group is not exposed to currency risk on sales and purchases that are denominated in a currency other than the respective functional currency of the Group, the USD. The principal currencies in which these transactions are denominated are GBP, NIS, Euro, CAD, SGD, KRW, MXN, AUD and JPY.</w:t>
      </w:r>
    </w:p>
    <w:p>
      <w:pPr>
        <w:spacing w:after="0" w:line="76" w:lineRule="exact"/>
        <w:rPr>
          <w:sz w:val="20"/>
          <w:szCs w:val="20"/>
          <w:color w:val="auto"/>
        </w:rPr>
      </w:pPr>
    </w:p>
    <w:p>
      <w:pPr>
        <w:jc w:val="both"/>
        <w:ind w:left="1760" w:right="20"/>
        <w:spacing w:after="0" w:line="277" w:lineRule="auto"/>
        <w:rPr>
          <w:sz w:val="20"/>
          <w:szCs w:val="20"/>
          <w:color w:val="auto"/>
        </w:rPr>
      </w:pPr>
      <w:r>
        <w:rPr>
          <w:rFonts w:ascii="Arial" w:cs="Arial" w:eastAsia="Arial" w:hAnsi="Arial"/>
          <w:sz w:val="18"/>
          <w:szCs w:val="18"/>
          <w:color w:val="auto"/>
        </w:rPr>
        <w:t>At any point in time, the Group aims to match the amounts of its assets and liabilities in the same currency in order to hedge the exposure to changes in currency.</w:t>
      </w:r>
    </w:p>
    <w:p>
      <w:pPr>
        <w:spacing w:after="0" w:line="62" w:lineRule="exact"/>
        <w:rPr>
          <w:sz w:val="20"/>
          <w:szCs w:val="20"/>
          <w:color w:val="auto"/>
        </w:rPr>
      </w:pPr>
    </w:p>
    <w:p>
      <w:pPr>
        <w:jc w:val="both"/>
        <w:ind w:left="1760" w:right="20"/>
        <w:spacing w:after="0" w:line="342" w:lineRule="auto"/>
        <w:rPr>
          <w:sz w:val="20"/>
          <w:szCs w:val="20"/>
          <w:color w:val="auto"/>
        </w:rPr>
      </w:pPr>
      <w:r>
        <w:rPr>
          <w:rFonts w:ascii="Arial" w:cs="Arial" w:eastAsia="Arial" w:hAnsi="Arial"/>
          <w:sz w:val="16"/>
          <w:szCs w:val="16"/>
          <w:color w:val="auto"/>
        </w:rPr>
        <w:t>In respect of other monetary assets and liabilities denominated in foreign currencies, the Group ensures that its net exposure is kept to an acceptable level by buying or selling foreign currencies at spot rates when necessary to address short-term imbalances.</w:t>
      </w:r>
    </w:p>
    <w:p>
      <w:pPr>
        <w:spacing w:after="0" w:line="147"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RELATED PARTIES</w:t>
      </w:r>
    </w:p>
    <w:p>
      <w:pPr>
        <w:spacing w:after="0" w:line="131" w:lineRule="exact"/>
        <w:rPr>
          <w:sz w:val="20"/>
          <w:szCs w:val="20"/>
          <w:color w:val="auto"/>
        </w:rPr>
      </w:pPr>
    </w:p>
    <w:p>
      <w:pPr>
        <w:ind w:left="1740" w:hanging="423"/>
        <w:spacing w:after="0"/>
        <w:tabs>
          <w:tab w:leader="none" w:pos="17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 to key management personnel</w:t>
      </w:r>
    </w:p>
    <w:p>
      <w:pPr>
        <w:spacing w:after="0" w:line="121"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Executive officers also participate in the Company’s share option programs. For further information see Note 16 regarding share-based payments.</w:t>
      </w:r>
    </w:p>
    <w:p>
      <w:pPr>
        <w:spacing w:after="0" w:line="62" w:lineRule="exact"/>
        <w:rPr>
          <w:rFonts w:ascii="Arial" w:cs="Arial" w:eastAsia="Arial" w:hAnsi="Arial"/>
          <w:sz w:val="18"/>
          <w:szCs w:val="18"/>
          <w:b w:val="1"/>
          <w:bCs w:val="1"/>
          <w:color w:val="auto"/>
        </w:rPr>
      </w:pPr>
    </w:p>
    <w:p>
      <w:pPr>
        <w:ind w:left="17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Compensation and benefits to key management personnel (including directors) that are employed by the Company and its subsidiaries:</w:t>
      </w:r>
    </w:p>
    <w:p>
      <w:pPr>
        <w:spacing w:after="0" w:line="18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Year ended</w:t>
      </w:r>
    </w:p>
    <w:p>
      <w:pPr>
        <w:jc w:val="center"/>
        <w:ind w:left="95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5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95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3"/>
          </w:tcPr>
          <w:p>
            <w:pPr>
              <w:jc w:val="right"/>
              <w:ind w:right="135"/>
              <w:spacing w:after="0" w:line="142" w:lineRule="exact"/>
              <w:rPr>
                <w:sz w:val="20"/>
                <w:szCs w:val="20"/>
                <w:color w:val="auto"/>
              </w:rPr>
            </w:pPr>
            <w:r>
              <w:rPr>
                <w:rFonts w:ascii="Arial" w:cs="Arial" w:eastAsia="Arial" w:hAnsi="Arial"/>
                <w:sz w:val="14"/>
                <w:szCs w:val="14"/>
                <w:b w:val="1"/>
                <w:bCs w:val="1"/>
                <w:color w:val="auto"/>
              </w:rPr>
              <w:t>USD thousands</w:t>
            </w:r>
          </w:p>
        </w:tc>
        <w:tc>
          <w:tcPr>
            <w:tcW w:w="8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Other compensation and benefits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3,932</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3,948</w:t>
            </w:r>
          </w:p>
        </w:tc>
      </w:tr>
      <w:tr>
        <w:trPr>
          <w:trHeight w:val="27"/>
        </w:trPr>
        <w:tc>
          <w:tcPr>
            <w:tcW w:w="9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16,555</w:t>
            </w:r>
          </w:p>
        </w:tc>
      </w:tr>
      <w:tr>
        <w:trPr>
          <w:trHeight w:val="20"/>
        </w:trPr>
        <w:tc>
          <w:tcPr>
            <w:tcW w:w="9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1740" w:hanging="423"/>
        <w:spacing w:after="0" w:line="277" w:lineRule="auto"/>
        <w:tabs>
          <w:tab w:leader="none" w:pos="174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As of December 31, 2020, an amount of USD 2,746 thousand was due to a related party for proceeds due to sale of shares (See Note 9).</w:t>
      </w:r>
    </w:p>
    <w:p>
      <w:pPr>
        <w:spacing w:after="0" w:line="75" w:lineRule="exact"/>
        <w:rPr>
          <w:rFonts w:ascii="Arial" w:cs="Arial" w:eastAsia="Arial" w:hAnsi="Arial"/>
          <w:sz w:val="18"/>
          <w:szCs w:val="18"/>
          <w:b w:val="1"/>
          <w:bCs w:val="1"/>
          <w:color w:val="auto"/>
        </w:rPr>
      </w:pPr>
    </w:p>
    <w:p>
      <w:pPr>
        <w:ind w:left="1740" w:hanging="423"/>
        <w:spacing w:after="0"/>
        <w:tabs>
          <w:tab w:leader="none" w:pos="1740"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In 2019, an amount of USD 130 thousand was paid to a related party due to its efforts in the acquisition of RhythmOne.</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SUBSIDIARIES</w:t>
      </w:r>
    </w:p>
    <w:p>
      <w:pPr>
        <w:spacing w:after="0" w:line="131" w:lineRule="exact"/>
        <w:rPr>
          <w:sz w:val="20"/>
          <w:szCs w:val="20"/>
          <w:color w:val="auto"/>
        </w:rPr>
      </w:pPr>
    </w:p>
    <w:p>
      <w:pPr>
        <w:ind w:left="1740" w:hanging="423"/>
        <w:spacing w:after="0"/>
        <w:tabs>
          <w:tab w:leader="none" w:pos="17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Details in respect of subsidiaries:</w:t>
      </w:r>
    </w:p>
    <w:p>
      <w:pPr>
        <w:spacing w:after="0" w:line="121"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Presented hereunder is a list of the Group’s subsidiary:</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The Group’s ownership interest</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4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7"/>
              </w:rPr>
              <w:t>Principal</w:t>
            </w:r>
          </w:p>
        </w:tc>
        <w:tc>
          <w:tcPr>
            <w:tcW w:w="250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3"/>
              </w:rPr>
              <w:t>in the subsidiary for the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location of the</w:t>
            </w:r>
          </w:p>
        </w:tc>
        <w:tc>
          <w:tcPr>
            <w:tcW w:w="740" w:type="dxa"/>
            <w:vAlign w:val="bottom"/>
          </w:tcPr>
          <w:p>
            <w:pPr>
              <w:spacing w:after="0"/>
              <w:rPr>
                <w:sz w:val="12"/>
                <w:szCs w:val="12"/>
                <w:color w:val="auto"/>
              </w:rPr>
            </w:pPr>
          </w:p>
        </w:tc>
        <w:tc>
          <w:tcPr>
            <w:tcW w:w="1760" w:type="dxa"/>
            <w:vAlign w:val="bottom"/>
            <w:gridSpan w:val="3"/>
          </w:tcPr>
          <w:p>
            <w:pPr>
              <w:jc w:val="center"/>
              <w:ind w:right="670"/>
              <w:spacing w:after="0" w:line="149" w:lineRule="exact"/>
              <w:rPr>
                <w:sz w:val="20"/>
                <w:szCs w:val="20"/>
                <w:color w:val="auto"/>
              </w:rPr>
            </w:pPr>
            <w:r>
              <w:rPr>
                <w:rFonts w:ascii="Arial" w:cs="Arial" w:eastAsia="Arial" w:hAnsi="Arial"/>
                <w:sz w:val="14"/>
                <w:szCs w:val="14"/>
                <w:b w:val="1"/>
                <w:bCs w:val="1"/>
                <w:color w:val="auto"/>
                <w:w w:val="91"/>
              </w:rPr>
              <w:t>year ended</w:t>
            </w:r>
          </w:p>
        </w:tc>
        <w:tc>
          <w:tcPr>
            <w:tcW w:w="0" w:type="dxa"/>
            <w:vAlign w:val="bottom"/>
          </w:tcPr>
          <w:p>
            <w:pPr>
              <w:spacing w:after="0"/>
              <w:rPr>
                <w:sz w:val="1"/>
                <w:szCs w:val="1"/>
                <w:color w:val="auto"/>
              </w:rPr>
            </w:pPr>
          </w:p>
        </w:tc>
      </w:tr>
      <w:tr>
        <w:trPr>
          <w:trHeight w:val="162"/>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company</w:t>
            </w:r>
          </w:p>
        </w:tc>
        <w:tc>
          <w:tcPr>
            <w:tcW w:w="2640" w:type="dxa"/>
            <w:vAlign w:val="bottom"/>
            <w:vMerge w:val="restart"/>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Company’s</w:t>
            </w:r>
          </w:p>
        </w:tc>
        <w:tc>
          <w:tcPr>
            <w:tcW w:w="7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670"/>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48"/>
        </w:trPr>
        <w:tc>
          <w:tcPr>
            <w:tcW w:w="1120" w:type="dxa"/>
            <w:vAlign w:val="bottom"/>
            <w:tcBorders>
              <w:bottom w:val="single" w:sz="8" w:color="auto"/>
            </w:tcBorders>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95"/>
              </w:rPr>
              <w:t>activity</w:t>
            </w:r>
          </w:p>
        </w:tc>
        <w:tc>
          <w:tcPr>
            <w:tcW w:w="740" w:type="dxa"/>
            <w:vAlign w:val="bottom"/>
          </w:tcPr>
          <w:p>
            <w:pPr>
              <w:jc w:val="center"/>
              <w:ind w:left="72"/>
              <w:spacing w:after="0" w:line="129" w:lineRule="exact"/>
              <w:rPr>
                <w:sz w:val="20"/>
                <w:szCs w:val="20"/>
                <w:color w:val="auto"/>
              </w:rPr>
            </w:pPr>
            <w:r>
              <w:rPr>
                <w:rFonts w:ascii="Arial" w:cs="Arial" w:eastAsia="Arial" w:hAnsi="Arial"/>
                <w:sz w:val="14"/>
                <w:szCs w:val="14"/>
                <w:b w:val="1"/>
                <w:bCs w:val="1"/>
                <w:color w:val="auto"/>
                <w:w w:val="96"/>
              </w:rPr>
              <w:t>2020</w:t>
            </w:r>
          </w:p>
        </w:tc>
        <w:tc>
          <w:tcPr>
            <w:tcW w:w="1760" w:type="dxa"/>
            <w:vAlign w:val="bottom"/>
            <w:gridSpan w:val="3"/>
          </w:tcPr>
          <w:p>
            <w:pPr>
              <w:jc w:val="center"/>
              <w:ind w:left="712"/>
              <w:spacing w:after="0" w:line="129"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Taptica Inc</w:t>
            </w:r>
          </w:p>
        </w:tc>
        <w:tc>
          <w:tcPr>
            <w:tcW w:w="10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USA</w:t>
            </w: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ind w:left="72"/>
              <w:spacing w:after="0" w:line="203" w:lineRule="exact"/>
              <w:rPr>
                <w:sz w:val="20"/>
                <w:szCs w:val="20"/>
                <w:color w:val="auto"/>
              </w:rPr>
            </w:pPr>
            <w:r>
              <w:rPr>
                <w:rFonts w:ascii="Arial" w:cs="Arial" w:eastAsia="Arial" w:hAnsi="Arial"/>
                <w:sz w:val="18"/>
                <w:szCs w:val="18"/>
                <w:color w:val="auto"/>
                <w:w w:val="91"/>
              </w:rPr>
              <w:t>100%</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Tremor Video Inc</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USA</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Adinnovation Inc</w:t>
            </w:r>
          </w:p>
        </w:tc>
        <w:tc>
          <w:tcPr>
            <w:tcW w:w="3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Japan</w:t>
            </w:r>
          </w:p>
        </w:tc>
        <w:tc>
          <w:tcPr>
            <w:tcW w:w="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4"/>
              </w:rPr>
              <w:t>57%</w:t>
            </w:r>
          </w:p>
        </w:tc>
        <w:tc>
          <w:tcPr>
            <w:tcW w:w="176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88"/>
              </w:rPr>
              <w:t>57%</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Taptica Japan</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Japan</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Taptica UK</w:t>
            </w:r>
          </w:p>
        </w:tc>
        <w:tc>
          <w:tcPr>
            <w:tcW w:w="3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United Kingdom</w:t>
            </w:r>
          </w:p>
        </w:tc>
        <w:tc>
          <w:tcPr>
            <w:tcW w:w="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shd w:val="clear" w:color="auto" w:fill="CCEEFF"/>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RhythmOne PLC</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UK</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RhythmOne Holding Inc</w:t>
            </w:r>
          </w:p>
        </w:tc>
        <w:tc>
          <w:tcPr>
            <w:tcW w:w="3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USA</w:t>
            </w:r>
          </w:p>
        </w:tc>
        <w:tc>
          <w:tcPr>
            <w:tcW w:w="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shd w:val="clear" w:color="auto" w:fill="CCEEFF"/>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YuMe Inc *</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USA</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Perk.com US Inc *</w:t>
            </w:r>
          </w:p>
        </w:tc>
        <w:tc>
          <w:tcPr>
            <w:tcW w:w="3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USA</w:t>
            </w:r>
          </w:p>
        </w:tc>
        <w:tc>
          <w:tcPr>
            <w:tcW w:w="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shd w:val="clear" w:color="auto" w:fill="CCEEFF"/>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Perk.com Canada Inc</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Canada</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R1Demand LLC *</w:t>
            </w:r>
          </w:p>
        </w:tc>
        <w:tc>
          <w:tcPr>
            <w:tcW w:w="3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USA</w:t>
            </w:r>
          </w:p>
        </w:tc>
        <w:tc>
          <w:tcPr>
            <w:tcW w:w="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shd w:val="clear" w:color="auto" w:fill="CCEEFF"/>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RhythmOne LLC</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USA</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Unruly holdings Ltd*</w:t>
            </w:r>
          </w:p>
        </w:tc>
        <w:tc>
          <w:tcPr>
            <w:tcW w:w="3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UK</w:t>
            </w:r>
          </w:p>
        </w:tc>
        <w:tc>
          <w:tcPr>
            <w:tcW w:w="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Unruly Group Ltd</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UK</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1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Unruly Media GmbH</w:t>
            </w:r>
          </w:p>
        </w:tc>
        <w:tc>
          <w:tcPr>
            <w:tcW w:w="3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Germany</w:t>
            </w:r>
          </w:p>
        </w:tc>
        <w:tc>
          <w:tcPr>
            <w:tcW w:w="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Unruly Media Pte Ltd*</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Singapore</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1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Unruly Media Pty Ltd</w:t>
            </w:r>
          </w:p>
        </w:tc>
        <w:tc>
          <w:tcPr>
            <w:tcW w:w="3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Australia</w:t>
            </w:r>
          </w:p>
        </w:tc>
        <w:tc>
          <w:tcPr>
            <w:tcW w:w="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Unruly Media KK</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Japan</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1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Unmedia Video Distribution Sdn Bhd</w:t>
            </w:r>
          </w:p>
        </w:tc>
        <w:tc>
          <w:tcPr>
            <w:tcW w:w="3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Malaysia</w:t>
            </w:r>
          </w:p>
        </w:tc>
        <w:tc>
          <w:tcPr>
            <w:tcW w:w="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Unruly Media Inc</w:t>
            </w:r>
          </w:p>
        </w:tc>
        <w:tc>
          <w:tcPr>
            <w:tcW w:w="3000" w:type="dxa"/>
            <w:vAlign w:val="bottom"/>
            <w:gridSpan w:val="3"/>
          </w:tcPr>
          <w:p>
            <w:pPr>
              <w:ind w:left="1060"/>
              <w:spacing w:after="0"/>
              <w:rPr>
                <w:sz w:val="20"/>
                <w:szCs w:val="20"/>
                <w:color w:val="auto"/>
              </w:rPr>
            </w:pPr>
            <w:r>
              <w:rPr>
                <w:rFonts w:ascii="Arial" w:cs="Arial" w:eastAsia="Arial" w:hAnsi="Arial"/>
                <w:sz w:val="18"/>
                <w:szCs w:val="18"/>
                <w:color w:val="auto"/>
              </w:rPr>
              <w:t>USA</w:t>
            </w:r>
          </w:p>
        </w:tc>
        <w:tc>
          <w:tcPr>
            <w:tcW w:w="740" w:type="dxa"/>
            <w:vAlign w:val="bottom"/>
          </w:tcPr>
          <w:p>
            <w:pPr>
              <w:jc w:val="center"/>
              <w:ind w:left="72"/>
              <w:spacing w:after="0"/>
              <w:rPr>
                <w:sz w:val="20"/>
                <w:szCs w:val="20"/>
                <w:color w:val="auto"/>
              </w:rPr>
            </w:pPr>
            <w:r>
              <w:rPr>
                <w:rFonts w:ascii="Arial" w:cs="Arial" w:eastAsia="Arial" w:hAnsi="Arial"/>
                <w:sz w:val="18"/>
                <w:szCs w:val="18"/>
                <w:color w:val="auto"/>
                <w:w w:val="91"/>
              </w:rPr>
              <w:t>100%</w:t>
            </w:r>
          </w:p>
        </w:tc>
        <w:tc>
          <w:tcPr>
            <w:tcW w:w="1760" w:type="dxa"/>
            <w:vAlign w:val="bottom"/>
            <w:gridSpan w:val="3"/>
          </w:tcPr>
          <w:p>
            <w:pPr>
              <w:jc w:val="center"/>
              <w:ind w:left="71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224"/>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Under these companies, there are twenty five (25) wholly owned subsidiaries that are inactive and in liquidation process.</w:t>
      </w:r>
    </w:p>
    <w:p>
      <w:pPr>
        <w:spacing w:after="0" w:line="369" w:lineRule="exact"/>
        <w:rPr>
          <w:rFonts w:ascii="Arial" w:cs="Arial" w:eastAsia="Arial" w:hAnsi="Arial"/>
          <w:sz w:val="18"/>
          <w:szCs w:val="18"/>
          <w:color w:val="auto"/>
        </w:rPr>
      </w:pPr>
    </w:p>
    <w:p>
      <w:pPr>
        <w:ind w:left="1760" w:right="3180" w:hanging="451"/>
        <w:spacing w:after="0" w:line="378" w:lineRule="auto"/>
        <w:rPr>
          <w:rFonts w:ascii="Arial" w:cs="Arial" w:eastAsia="Arial" w:hAnsi="Arial"/>
          <w:sz w:val="18"/>
          <w:szCs w:val="18"/>
          <w:color w:val="auto"/>
        </w:rPr>
      </w:pPr>
      <w:r>
        <w:rPr>
          <w:rFonts w:ascii="Arial" w:cs="Arial" w:eastAsia="Arial" w:hAnsi="Arial"/>
          <w:sz w:val="18"/>
          <w:szCs w:val="18"/>
          <w:b w:val="1"/>
          <w:bCs w:val="1"/>
          <w:color w:val="auto"/>
        </w:rPr>
        <w:t xml:space="preserve">b. Acquisition of subsidiaries and business combinations during the current period: </w:t>
      </w:r>
      <w:r>
        <w:rPr>
          <w:rFonts w:ascii="Arial" w:cs="Arial" w:eastAsia="Arial" w:hAnsi="Arial"/>
          <w:sz w:val="18"/>
          <w:szCs w:val="18"/>
          <w:color w:val="auto"/>
        </w:rPr>
        <w:t>Acquisition of Unruly:</w:t>
      </w:r>
    </w:p>
    <w:p>
      <w:pPr>
        <w:jc w:val="both"/>
        <w:ind w:left="1760"/>
        <w:spacing w:after="0" w:line="273" w:lineRule="auto"/>
        <w:rPr>
          <w:rFonts w:ascii="Arial" w:cs="Arial" w:eastAsia="Arial" w:hAnsi="Arial"/>
          <w:sz w:val="18"/>
          <w:szCs w:val="18"/>
          <w:color w:val="auto"/>
        </w:rPr>
      </w:pPr>
      <w:r>
        <w:rPr>
          <w:rFonts w:ascii="Arial" w:cs="Arial" w:eastAsia="Arial" w:hAnsi="Arial"/>
          <w:sz w:val="17"/>
          <w:szCs w:val="17"/>
          <w:color w:val="auto"/>
        </w:rPr>
        <w:t>On January 4, 2020, the Company completed the acquisition of Unruly Holdings Limited and Unruly Media Inc. from News Corp UK &amp; Ireland Limited (UK Seller) and News Preferred Holdings Inc. (US Seller) for total consideration of: (i) issuance of 7,960,111 Ordinary Shares of the Company to the UK Seller in exchange for a loan in the amount of GBP 12,020 thousand (USD 15,729 thousand) between UK Seller (as lender) and Unruly Group Limited (as borrower); (ii) GBP 1 to UK Seller for 100% of the issued share capital of Unruly Holdings Limited; and (iii) issuance of 565,212 Ordinary Shares of the Company to the US Seller and USD 1 for 100% of the issued share capital of Unruly Media Inc.</w:t>
      </w:r>
    </w:p>
    <w:p>
      <w:pPr>
        <w:spacing w:after="0" w:line="69" w:lineRule="exact"/>
        <w:rPr>
          <w:rFonts w:ascii="Arial" w:cs="Arial" w:eastAsia="Arial" w:hAnsi="Arial"/>
          <w:sz w:val="18"/>
          <w:szCs w:val="18"/>
          <w:color w:val="auto"/>
        </w:rPr>
      </w:pPr>
    </w:p>
    <w:p>
      <w:pPr>
        <w:jc w:val="both"/>
        <w:ind w:left="1760"/>
        <w:spacing w:after="0" w:line="286" w:lineRule="auto"/>
        <w:rPr>
          <w:rFonts w:ascii="Arial" w:cs="Arial" w:eastAsia="Arial" w:hAnsi="Arial"/>
          <w:sz w:val="18"/>
          <w:szCs w:val="18"/>
          <w:color w:val="auto"/>
        </w:rPr>
      </w:pPr>
      <w:r>
        <w:rPr>
          <w:rFonts w:ascii="Arial" w:cs="Arial" w:eastAsia="Arial" w:hAnsi="Arial"/>
          <w:sz w:val="17"/>
          <w:szCs w:val="17"/>
          <w:color w:val="auto"/>
        </w:rPr>
        <w:t>The issuance of an aggregate 8,525,323 Ordinary Shares of the Company to UK Seller and US Seller represented approximately 6.91% of the Company’s issued voting share capital at such time. The Sellers agreed not to sell, transfer or otherwise dispose of such Company Ordinary Shares for an 18-month period, subject to customary exceptions.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SUBSIDIARIES (Cont.)</w:t>
      </w:r>
    </w:p>
    <w:p>
      <w:pPr>
        <w:spacing w:after="0" w:line="135" w:lineRule="exact"/>
        <w:rPr>
          <w:sz w:val="20"/>
          <w:szCs w:val="20"/>
          <w:color w:val="auto"/>
        </w:rPr>
      </w:pPr>
    </w:p>
    <w:p>
      <w:pPr>
        <w:jc w:val="both"/>
        <w:ind w:left="1760"/>
        <w:spacing w:after="0" w:line="275" w:lineRule="auto"/>
        <w:rPr>
          <w:sz w:val="20"/>
          <w:szCs w:val="20"/>
          <w:color w:val="auto"/>
        </w:rPr>
      </w:pPr>
      <w:r>
        <w:rPr>
          <w:rFonts w:ascii="Arial" w:cs="Arial" w:eastAsia="Arial" w:hAnsi="Arial"/>
          <w:sz w:val="17"/>
          <w:szCs w:val="17"/>
          <w:color w:val="auto"/>
        </w:rPr>
        <w:t>At the same time, Tremor Video entered into a Master Service Agreement (MSA) with the UK seller for an exclusive right to sell outstream video on various News Corp titles world-wide on a committed ad spend of GBP 30,000 thousand over a three-year period with an option to extend the MSA by two quarters at the discretion of UK seller. The obligation for the net discounted future payments exceeding market fair value aggregated to USD 14,073 thousand and is recognized according to the actual consumption. As of December 31, 2020, the ad spend liability balance aggregated to USD 13,811 thousand.</w:t>
      </w:r>
    </w:p>
    <w:p>
      <w:pPr>
        <w:spacing w:after="0" w:line="68" w:lineRule="exact"/>
        <w:rPr>
          <w:sz w:val="20"/>
          <w:szCs w:val="20"/>
          <w:color w:val="auto"/>
        </w:rPr>
      </w:pPr>
    </w:p>
    <w:p>
      <w:pPr>
        <w:jc w:val="both"/>
        <w:ind w:left="1760"/>
        <w:spacing w:after="0" w:line="277" w:lineRule="auto"/>
        <w:rPr>
          <w:sz w:val="20"/>
          <w:szCs w:val="20"/>
          <w:color w:val="auto"/>
        </w:rPr>
      </w:pPr>
      <w:r>
        <w:rPr>
          <w:rFonts w:ascii="Arial" w:cs="Arial" w:eastAsia="Arial" w:hAnsi="Arial"/>
          <w:sz w:val="18"/>
          <w:szCs w:val="18"/>
          <w:color w:val="auto"/>
        </w:rPr>
        <w:t>The following summarizes the major classes of consideration transferred, and the recognized amounts of assets acquired and liabilities assumed at the acquisition date: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USD thousands</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instruments issued (1)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Ad spend liability (2)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14,073</w:t>
            </w:r>
          </w:p>
        </w:tc>
        <w:tc>
          <w:tcPr>
            <w:tcW w:w="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UK debt (3)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13,181</w:t>
            </w:r>
          </w:p>
        </w:tc>
        <w:tc>
          <w:tcPr>
            <w:tcW w:w="4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Total purchase price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8"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fair value of the Ordinary shares issued was based on the quoted price of GBP 1.51 per share considering the restrictions on sell of the shares as detail above.</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Ad spend liability fair value was determined based on the unfavorable aspect of the contract to the Company relative to market prices. The Ad spend liability is included in other payables and other long term liabilities.</w:t>
      </w:r>
    </w:p>
    <w:p>
      <w:pPr>
        <w:ind w:left="540" w:hanging="424"/>
        <w:spacing w:after="0" w:line="260"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fair value of the UK debt was based on the quoted price of GBP 1.51 per share considering the restrictions on sell of the shares as detail above.</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Identifiable assets acquired and liabilities assumed:</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USD thousands</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Accounts Receivables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19,383</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1,761</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Institutions- Tax income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3,363</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Long term lease assets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Intangible assets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23,207</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lease liabilities</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Trade payables</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(24,564)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(11,343)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(3,845)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(4,409)</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identifiable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Measurement of fair values:</w:t>
      </w:r>
    </w:p>
    <w:p>
      <w:pPr>
        <w:spacing w:after="0" w:line="121"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The fair value of the brand and the technology is based on the discounted estimated royalty payments that have been generated if as a result of the trademark being licensed.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SUBSIDIARIES (Cont.)</w:t>
      </w:r>
    </w:p>
    <w:p>
      <w:pPr>
        <w:spacing w:after="0" w:line="135" w:lineRule="exact"/>
        <w:rPr>
          <w:sz w:val="20"/>
          <w:szCs w:val="20"/>
          <w:color w:val="auto"/>
        </w:rPr>
      </w:pPr>
    </w:p>
    <w:p>
      <w:pPr>
        <w:jc w:val="both"/>
        <w:ind w:left="1760"/>
        <w:spacing w:after="0" w:line="277" w:lineRule="auto"/>
        <w:rPr>
          <w:sz w:val="20"/>
          <w:szCs w:val="20"/>
          <w:color w:val="auto"/>
        </w:rPr>
      </w:pPr>
      <w:r>
        <w:rPr>
          <w:rFonts w:ascii="Arial" w:cs="Arial" w:eastAsia="Arial" w:hAnsi="Arial"/>
          <w:sz w:val="18"/>
          <w:szCs w:val="18"/>
          <w:color w:val="auto"/>
        </w:rPr>
        <w:t>The fair value of the non-compete is based on the differences between two discounted estimated cash flow models, with and without the asset in place.</w:t>
      </w:r>
    </w:p>
    <w:p>
      <w:pPr>
        <w:spacing w:after="0" w:line="62" w:lineRule="exact"/>
        <w:rPr>
          <w:sz w:val="20"/>
          <w:szCs w:val="20"/>
          <w:color w:val="auto"/>
        </w:rPr>
      </w:pPr>
    </w:p>
    <w:p>
      <w:pPr>
        <w:jc w:val="both"/>
        <w:ind w:left="1760"/>
        <w:spacing w:after="0" w:line="308" w:lineRule="auto"/>
        <w:rPr>
          <w:sz w:val="20"/>
          <w:szCs w:val="20"/>
          <w:color w:val="auto"/>
        </w:rPr>
      </w:pPr>
      <w:r>
        <w:rPr>
          <w:rFonts w:ascii="Arial" w:cs="Arial" w:eastAsia="Arial" w:hAnsi="Arial"/>
          <w:sz w:val="17"/>
          <w:szCs w:val="17"/>
          <w:color w:val="auto"/>
        </w:rPr>
        <w:t>The fair value of customer relationships and backlog is determined using the multi-period excess earnings method, whereby the subject asset is valued after deducting a fair return on all other assets that are part of creating the related cash flows.</w:t>
      </w:r>
    </w:p>
    <w:p>
      <w:pPr>
        <w:spacing w:after="0" w:line="38" w:lineRule="exact"/>
        <w:rPr>
          <w:sz w:val="20"/>
          <w:szCs w:val="20"/>
          <w:color w:val="auto"/>
        </w:rPr>
      </w:pPr>
    </w:p>
    <w:p>
      <w:pPr>
        <w:jc w:val="both"/>
        <w:ind w:left="1760"/>
        <w:spacing w:after="0" w:line="277" w:lineRule="auto"/>
        <w:rPr>
          <w:sz w:val="20"/>
          <w:szCs w:val="20"/>
          <w:color w:val="auto"/>
        </w:rPr>
      </w:pPr>
      <w:r>
        <w:rPr>
          <w:rFonts w:ascii="Arial" w:cs="Arial" w:eastAsia="Arial" w:hAnsi="Arial"/>
          <w:sz w:val="18"/>
          <w:szCs w:val="18"/>
          <w:color w:val="auto"/>
        </w:rPr>
        <w:t>The following table summarizes the components of the acquired intangible assets and estimated useful lives (in thousands, except for estimated useful life) as of the acquisition date: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USD thousands</w:t>
            </w:r>
          </w:p>
        </w:tc>
        <w:tc>
          <w:tcPr>
            <w:tcW w:w="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Non Compete</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906</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1,658</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Customer relations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10,054</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Brand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10,427</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23,207</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aggregate cash flow derived for the Company as a result of the Unruly acquisition:</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USD thousands</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Unruly</w:t>
            </w:r>
          </w:p>
        </w:tc>
        <w:tc>
          <w:tcPr>
            <w:tcW w:w="10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Acquisition costs</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of subsidiary – Cash</w:t>
            </w:r>
          </w:p>
        </w:tc>
        <w:tc>
          <w:tcPr>
            <w:tcW w:w="10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Goodwill</w:t>
            </w: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Goodwill was recognized as a result of the acquisition as follows:</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USD thousands</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Less fair value of identifiable net assets</w:t>
            </w:r>
          </w:p>
        </w:tc>
        <w:tc>
          <w:tcPr>
            <w:tcW w:w="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10,312</w:t>
            </w: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760"/>
        <w:spacing w:after="0" w:line="263" w:lineRule="auto"/>
        <w:rPr>
          <w:sz w:val="20"/>
          <w:szCs w:val="20"/>
          <w:color w:val="auto"/>
        </w:rPr>
      </w:pPr>
      <w:r>
        <w:rPr>
          <w:rFonts w:ascii="Arial" w:cs="Arial" w:eastAsia="Arial" w:hAnsi="Arial"/>
          <w:sz w:val="18"/>
          <w:szCs w:val="18"/>
          <w:color w:val="auto"/>
        </w:rPr>
        <w:t>The goodwill is attributable mainly to the increase offering to customers, enhanced opportunities for growth and the synergies expected to be achieved from integration into the Company’s digital advertising platforms (see also Note 7 on intangible assets). None of the goodwill recognized is expected to be deductible for tax purposes.</w:t>
      </w: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Acquisition-related costs</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The Company incurred acquisition-related costs of USD 887 thousand related to finders’ fees, legal fees and due diligence costs.</w:t>
      </w:r>
    </w:p>
    <w:p>
      <w:pPr>
        <w:spacing w:after="0" w:line="4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These costs have been included in general and administrative expenses in the statement of operation.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SUBSIDIARIES (Cont.)</w:t>
      </w:r>
    </w:p>
    <w:p>
      <w:pPr>
        <w:spacing w:after="0" w:line="131" w:lineRule="exact"/>
        <w:rPr>
          <w:sz w:val="20"/>
          <w:szCs w:val="20"/>
          <w:color w:val="auto"/>
        </w:rPr>
      </w:pPr>
    </w:p>
    <w:p>
      <w:pPr>
        <w:ind w:left="1760" w:right="5380" w:hanging="443"/>
        <w:spacing w:after="0" w:line="378" w:lineRule="auto"/>
        <w:tabs>
          <w:tab w:leader="none" w:pos="1741"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business combination in prior periods Acquisition of RhythmOne</w:t>
      </w:r>
      <w:r>
        <w:rPr>
          <w:rFonts w:ascii="Arial" w:cs="Arial" w:eastAsia="Arial" w:hAnsi="Arial"/>
          <w:sz w:val="18"/>
          <w:szCs w:val="18"/>
          <w:color w:val="auto"/>
        </w:rPr>
        <w:t>:</w:t>
      </w:r>
    </w:p>
    <w:p>
      <w:pPr>
        <w:jc w:val="both"/>
        <w:ind w:left="17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April 1, 2019, the Company completed Acquisition Transaction (hereinafter- “Acquisition”) with RhythmOne Plc, a Company incorporated under the laws of England and Wales, whereby the Company acquired the entire issued ordinary shares of RhythmOne and each RhythmOne shareholder received 28 new shares of the Company (as such new 66,736,485 shares of the Company were issued , see also Note 14(3)) for every 33 RhythmOne shares held, so that following the completion of the Acquisition, the Company’s current shareholders held 50.1% and, RhythmOne Shareholders held 49.9% of the merged Group. In addition, 849,325 options and 1,058,776 restricted shares units over RhythmOne share awarded were rolled over to 458,946 the Company’s options and to 869,962 the Company’s restricted units (hereinafter- “Replacement Award”). The consideration of the Acquisition amounted to USD 176,421 thousand (including consideration allocated to issuance of ordinary shares and Replacement Award).</w:t>
      </w:r>
    </w:p>
    <w:p>
      <w:pPr>
        <w:spacing w:after="0" w:line="219"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OPERATING SEGMENTS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Group has a single reportable segment as a provider of marketing services.</w:t>
      </w:r>
    </w:p>
    <w:p>
      <w:pPr>
        <w:spacing w:after="0" w:line="32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Geographical information</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Company is domiciled in Israel and it produces its income primarily in USA, Israel, China, Germany, Japan, India and UK.</w:t>
      </w:r>
    </w:p>
    <w:p>
      <w:pPr>
        <w:spacing w:after="0" w:line="12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In presenting information on the basis of geographical segments, segment revenue is based on the geographical location of consumers.</w:t>
      </w:r>
    </w:p>
    <w:p>
      <w:pPr>
        <w:spacing w:after="0" w:line="267"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 ended</w:t>
      </w:r>
    </w:p>
    <w:p>
      <w:pPr>
        <w:jc w:val="center"/>
        <w:ind w:left="6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4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gridSpan w:val="4"/>
          </w:tcPr>
          <w:p>
            <w:pPr>
              <w:jc w:val="right"/>
              <w:ind w:right="374"/>
              <w:spacing w:after="0" w:line="142" w:lineRule="exact"/>
              <w:rPr>
                <w:sz w:val="20"/>
                <w:szCs w:val="20"/>
                <w:color w:val="auto"/>
              </w:rPr>
            </w:pPr>
            <w:r>
              <w:rPr>
                <w:rFonts w:ascii="Arial" w:cs="Arial" w:eastAsia="Arial" w:hAnsi="Arial"/>
                <w:sz w:val="14"/>
                <w:szCs w:val="14"/>
                <w:b w:val="1"/>
                <w:bCs w:val="1"/>
                <w:color w:val="auto"/>
              </w:rPr>
              <w:t>USD thousands</w:t>
            </w:r>
          </w:p>
        </w:tc>
        <w:tc>
          <w:tcPr>
            <w:tcW w:w="6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America</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180,515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261,534</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APAC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20,804</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33,052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31,174</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color w:val="auto"/>
              </w:rPr>
              <w:t>(1)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211,920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325,760</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77"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year ended December 31, 2020 and 2019 programmatic revenue is reported on a net basis and gross basis, respectively and performance revenue reported on gross basis in both years (see Note 3k).</w:t>
      </w:r>
    </w:p>
    <w:p>
      <w:pPr>
        <w:spacing w:after="0" w:line="62"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In 2019, media cost amounted to USD 113,251 thousand in America, USD 887 thousand in APAC and USD 3,163 thousand in EMEA.</w:t>
      </w:r>
    </w:p>
    <w:p>
      <w:pPr>
        <w:spacing w:after="0" w:line="26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CONTINGENT LIABILITY</w:t>
      </w:r>
    </w:p>
    <w:p>
      <w:pPr>
        <w:spacing w:after="0" w:line="135" w:lineRule="exact"/>
        <w:rPr>
          <w:sz w:val="20"/>
          <w:szCs w:val="20"/>
          <w:color w:val="auto"/>
        </w:rPr>
      </w:pPr>
    </w:p>
    <w:p>
      <w:pPr>
        <w:jc w:val="both"/>
        <w:ind w:left="1740" w:hanging="423"/>
        <w:spacing w:after="0" w:line="259" w:lineRule="auto"/>
        <w:tabs>
          <w:tab w:leader="none" w:pos="174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On December 10, 2020, Taptica entered into a settlement agreement with Uber. There was no court finding as to wrongdoing by the Company or on the merits of the lawsuit. The Company made no admission of any liability or wrongdoing. In the settlement it was agreed that Taptica will pay a total amount of USD 1,700 thousand to Uber, which resulted in the full dismissal of the case against Taptica.</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TREMOR INTERNATIONAL LTD.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CONTINGENT LIABILITY (Cont.)</w:t>
      </w:r>
    </w:p>
    <w:p>
      <w:pPr>
        <w:spacing w:after="0" w:line="135" w:lineRule="exact"/>
        <w:rPr>
          <w:sz w:val="20"/>
          <w:szCs w:val="20"/>
          <w:color w:val="auto"/>
        </w:rPr>
      </w:pPr>
    </w:p>
    <w:p>
      <w:pPr>
        <w:jc w:val="both"/>
        <w:ind w:left="1740" w:right="20" w:hanging="423"/>
        <w:spacing w:after="0" w:line="257" w:lineRule="auto"/>
        <w:tabs>
          <w:tab w:leader="none" w:pos="1740"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In January 2018, AlmondNet, Inc. and its affiliates (Datonics LLC and Intent IQ) contacted RhythmOne asserting that RhythmOne’s online advertising system infringes eleven U.S. Patents owned by the AlmondNet Group. As of the date of this report, a claim was never filed and RhythmOne is currently in a commercial agreement with AlmondNet’s affiliate. The Company believes that the likelihood of a material loss is remote but at this point is unable to reasonably estimate any potential loss and financial impact to the Company resulting from this matter.</w:t>
      </w:r>
    </w:p>
    <w:p>
      <w:pPr>
        <w:spacing w:after="0" w:line="21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jc w:val="both"/>
        <w:ind w:left="1320"/>
        <w:spacing w:after="0" w:line="275" w:lineRule="auto"/>
        <w:rPr>
          <w:sz w:val="20"/>
          <w:szCs w:val="20"/>
          <w:color w:val="auto"/>
        </w:rPr>
      </w:pPr>
      <w:r>
        <w:rPr>
          <w:rFonts w:ascii="Arial" w:cs="Arial" w:eastAsia="Arial" w:hAnsi="Arial"/>
          <w:sz w:val="17"/>
          <w:szCs w:val="17"/>
          <w:color w:val="auto"/>
        </w:rPr>
        <w:t>D.A. Consortium, Inc., a minority shareholder of ADI, exercised, effective March 5, 2021, its put option pursuant to the Shareholders Agreement dated July 17, 2016, as amended November 20, 2020, to sell to Taptica Japan GK, a wholly owned subsidiary, its entire shareholding in ADI, reflecting 2,120 Class B Shares of ADI, for a purchase price equal to seven times the actual net profit of ADI for the last fiscal year, see Note 17 (e), reflecting approximately USD 1,169 thousand. Following the closing of the put option exercise, the Company will own through its subsidiary 100% of the share capital of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215265</wp:posOffset>
            </wp:positionV>
            <wp:extent cx="1474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1791335</wp:posOffset>
            </wp:positionV>
            <wp:extent cx="1431290" cy="3860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312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Through and including , 2021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5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Under the Israeli Companies Law, 5759-1999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An Israeli company may not exculpate a director from liability arising out of a prohibited dividend or distribution to shareholders.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89" w:lineRule="exact"/>
        <w:rPr>
          <w:sz w:val="20"/>
          <w:szCs w:val="20"/>
          <w:color w:val="auto"/>
        </w:rPr>
      </w:pPr>
    </w:p>
    <w:p>
      <w:pPr>
        <w:jc w:val="both"/>
        <w:ind w:left="1080" w:hanging="424"/>
        <w:spacing w:after="0" w:line="296"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66" w:lineRule="exact"/>
        <w:rPr>
          <w:rFonts w:ascii="Arial" w:cs="Arial" w:eastAsia="Arial" w:hAnsi="Arial"/>
          <w:sz w:val="16"/>
          <w:szCs w:val="16"/>
          <w:color w:val="auto"/>
        </w:rPr>
      </w:pPr>
    </w:p>
    <w:p>
      <w:pPr>
        <w:jc w:val="both"/>
        <w:ind w:left="1080" w:hanging="424"/>
        <w:spacing w:after="0" w:line="255"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reasonable litigation expenses, including legal fees, incurred by the office holder (1) as a result of an investigation or proceeding instituted against him or her by an authority authorized to conduct such investigation or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97" w:lineRule="exact"/>
        <w:rPr>
          <w:rFonts w:ascii="Arial" w:cs="Arial" w:eastAsia="Arial" w:hAnsi="Arial"/>
          <w:sz w:val="18"/>
          <w:szCs w:val="18"/>
          <w:color w:val="auto"/>
        </w:rPr>
      </w:pPr>
    </w:p>
    <w:p>
      <w:pPr>
        <w:jc w:val="both"/>
        <w:ind w:left="1080" w:right="20" w:hanging="424"/>
        <w:spacing w:after="0" w:line="286" w:lineRule="auto"/>
        <w:tabs>
          <w:tab w:leader="none" w:pos="10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70" w:lineRule="exact"/>
        <w:rPr>
          <w:rFonts w:ascii="Arial" w:cs="Arial" w:eastAsia="Arial" w:hAnsi="Arial"/>
          <w:sz w:val="17"/>
          <w:szCs w:val="17"/>
          <w:color w:val="auto"/>
        </w:rPr>
      </w:pPr>
    </w:p>
    <w:p>
      <w:pPr>
        <w:jc w:val="both"/>
        <w:ind w:left="1080" w:right="20" w:hanging="424"/>
        <w:spacing w:after="0" w:line="263"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5728-1968.</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and to the extent provided in the company’s articles of association, an Israeli company may insure an office holder against the following liabilities incurred for acts performed as an office holder:</w:t>
      </w:r>
    </w:p>
    <w:p>
      <w:pPr>
        <w:spacing w:after="0" w:line="76" w:lineRule="exact"/>
        <w:rPr>
          <w:sz w:val="20"/>
          <w:szCs w:val="20"/>
          <w:color w:val="auto"/>
        </w:rPr>
      </w:pPr>
    </w:p>
    <w:p>
      <w:pPr>
        <w:ind w:left="1080" w:right="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prejudice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 breach of the duty of care to the company or to a third-party, including a breach arising out of the negligent conduct of the office holder;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 financial liability imposed on the office holder in favor of a third-party harmed by a breach in an administrative proceeding; and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31" w:lineRule="exact"/>
        <w:rPr>
          <w:sz w:val="20"/>
          <w:szCs w:val="20"/>
          <w:color w:val="auto"/>
        </w:rPr>
      </w:pPr>
    </w:p>
    <w:p>
      <w:pPr>
        <w:ind w:left="108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 holder;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fine, monetary sanction or forfeit levied against the office holder.</w:t>
      </w:r>
    </w:p>
    <w:p>
      <w:pPr>
        <w:spacing w:after="0" w:line="225"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Under the Companies Law, exculpation, indemnification and insurance of office holders must be approved by the compensation committee and the board of directors (and, with respect to directors and the chief executive officer, by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policy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have entered into agreements with each of our directors and executive officers exculpating them,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Effective as of the date of this offering, the maximum indemnification amount set forth in such agreements is limited to an amount equal to the higher of $50 million and 25% of our total shareholder’s equity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There is no pending litigation or proceeding against any of our office holders as to which indemnification is being sought, nor are we aware of any pending or threatened litigation that may result in claims for indemnification by any office holder.</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During the past three years, we issued securities which were not registered under the Securities Act as set forth below. We believe that each of such issuances was exempt from registration under the Securities Act in reliance on Section 4(2) of the Securities Act, Rule 701 and/or Regulation S under the Securities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is a summary of transactions during the preceding three fiscal years involving sales of our securities that were not registered under the Securities Act.</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January 2018, we issued 4,850,000 ordinary shares to the public at an issue price of 450 pence per share, raising gross proceeds of approximately £21.8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April 2019, we issued 66,736,485 ordinary shares as consideration for the acquisition of RhythmOne plc.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January 2020, we issued 8,525,323 ordinary shares as consideration for the acquisition of Unruly Holdings Limited and Unruly Media, Inc.</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Consolidated Financial Statements and related notes thereto.</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540" w:hanging="424"/>
        <w:spacing w:after="0" w:line="308" w:lineRule="auto"/>
        <w:tabs>
          <w:tab w:leader="none" w:pos="5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1" w:lineRule="exact"/>
        <w:rPr>
          <w:rFonts w:ascii="Arial" w:cs="Arial" w:eastAsia="Arial" w:hAnsi="Arial"/>
          <w:sz w:val="17"/>
          <w:szCs w:val="17"/>
          <w:color w:val="auto"/>
        </w:rPr>
      </w:pPr>
    </w:p>
    <w:p>
      <w:pPr>
        <w:jc w:val="both"/>
        <w:ind w:left="540" w:hanging="424"/>
        <w:spacing w:after="0" w:line="290"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6"/>
          <w:szCs w:val="16"/>
          <w:color w:val="auto"/>
        </w:rPr>
      </w:pPr>
    </w:p>
    <w:p>
      <w:pPr>
        <w:ind w:left="540" w:hanging="424"/>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30" w:lineRule="exact"/>
        <w:rPr>
          <w:rFonts w:ascii="Arial" w:cs="Arial" w:eastAsia="Arial" w:hAnsi="Arial"/>
          <w:sz w:val="18"/>
          <w:szCs w:val="18"/>
          <w:color w:val="auto"/>
        </w:rPr>
      </w:pPr>
    </w:p>
    <w:p>
      <w:pPr>
        <w:jc w:val="both"/>
        <w:ind w:left="1080" w:hanging="532"/>
        <w:spacing w:after="0" w:line="311" w:lineRule="auto"/>
        <w:tabs>
          <w:tab w:leader="none" w:pos="10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jc w:val="both"/>
        <w:ind w:left="1080" w:right="20" w:hanging="532"/>
        <w:spacing w:after="0" w:line="263" w:lineRule="auto"/>
        <w:tabs>
          <w:tab w:leader="none" w:pos="10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540" w:type="dxa"/>
            <w:vAlign w:val="bottom"/>
          </w:tcPr>
          <w:p>
            <w:pPr>
              <w:ind w:left="234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Articles of Association of the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7"/>
              </w:rPr>
              <w:t>Form of Amended and Restated Articles of Association of the Registrant to be effective upon the closing of this offering</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Form of Deposit Agreement</w:t>
            </w:r>
          </w:p>
        </w:tc>
      </w:tr>
      <w:tr>
        <w:trPr>
          <w:trHeight w:val="337"/>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Form of American Depositary Receipt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8"/>
              </w:rPr>
              <w:t>Opinion of Naschitz, Brandes, Amir &amp; Co., counsel to the Registrant, as to the validity of the ordinary shares (including</w:t>
            </w:r>
          </w:p>
        </w:tc>
      </w:tr>
      <w:tr>
        <w:trPr>
          <w:trHeight w:val="230"/>
        </w:trPr>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consent)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Global Share Incentive Plan (2011), as amended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2017 Equity Share Incentive Plan, as amended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Remuneration Policy for Directors and Executives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List of subsidiaries of the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9"/>
              </w:rPr>
              <w:t>Consent of Somekh Chaikin, a member firm of KPMG International, an independent registered public accounting firm</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Consent of Naschitz, Brandes, Amir &amp; Co.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Powers of Attorney (included in signature page to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w:t>
      </w:r>
    </w:p>
    <w:tbl>
      <w:tblPr>
        <w:tblLayout w:type="fixed"/>
        <w:tblInd w:w="12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w w:val="96"/>
              </w:rPr>
              <w:t>thereunto duly authorized, in Tel Aviv, Israel on this</w:t>
            </w:r>
          </w:p>
        </w:tc>
        <w:tc>
          <w:tcPr>
            <w:tcW w:w="880" w:type="dxa"/>
            <w:vAlign w:val="bottom"/>
          </w:tcPr>
          <w:p>
            <w:pPr>
              <w:ind w:left="220"/>
              <w:spacing w:after="0"/>
              <w:rPr>
                <w:sz w:val="20"/>
                <w:szCs w:val="20"/>
                <w:color w:val="auto"/>
              </w:rPr>
            </w:pPr>
            <w:r>
              <w:rPr>
                <w:rFonts w:ascii="Arial" w:cs="Arial" w:eastAsia="Arial" w:hAnsi="Arial"/>
                <w:sz w:val="18"/>
                <w:szCs w:val="18"/>
                <w:color w:val="auto"/>
              </w:rPr>
              <w:t>day of</w:t>
            </w:r>
          </w:p>
        </w:tc>
        <w:tc>
          <w:tcPr>
            <w:tcW w:w="2360" w:type="dxa"/>
            <w:vAlign w:val="bottom"/>
          </w:tcPr>
          <w:p>
            <w:pPr>
              <w:ind w:left="200"/>
              <w:spacing w:after="0"/>
              <w:rPr>
                <w:sz w:val="20"/>
                <w:szCs w:val="20"/>
                <w:color w:val="auto"/>
              </w:rPr>
            </w:pPr>
            <w:r>
              <w:rPr>
                <w:rFonts w:ascii="Arial" w:cs="Arial" w:eastAsia="Arial" w:hAnsi="Arial"/>
                <w:sz w:val="18"/>
                <w:szCs w:val="18"/>
                <w:color w:val="auto"/>
              </w:rPr>
              <w:t>, 2021.</w:t>
            </w:r>
          </w:p>
        </w:tc>
        <w:tc>
          <w:tcPr>
            <w:tcW w:w="3820" w:type="dxa"/>
            <w:vAlign w:val="bottom"/>
          </w:tcPr>
          <w:p>
            <w:pPr>
              <w:spacing w:after="0"/>
              <w:rPr>
                <w:sz w:val="20"/>
                <w:szCs w:val="20"/>
                <w:color w:val="auto"/>
              </w:rPr>
            </w:pPr>
          </w:p>
        </w:tc>
      </w:tr>
      <w:tr>
        <w:trPr>
          <w:trHeight w:val="445"/>
        </w:trPr>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80" w:type="dxa"/>
            <w:vAlign w:val="bottom"/>
            <w:gridSpan w:val="2"/>
          </w:tcPr>
          <w:p>
            <w:pPr>
              <w:ind w:left="1780"/>
              <w:spacing w:after="0"/>
              <w:rPr>
                <w:sz w:val="20"/>
                <w:szCs w:val="20"/>
                <w:color w:val="auto"/>
              </w:rPr>
            </w:pPr>
            <w:r>
              <w:rPr>
                <w:rFonts w:ascii="Arial" w:cs="Arial" w:eastAsia="Arial" w:hAnsi="Arial"/>
                <w:sz w:val="18"/>
                <w:szCs w:val="18"/>
                <w:b w:val="1"/>
                <w:bCs w:val="1"/>
                <w:color w:val="auto"/>
              </w:rPr>
              <w:t>TREMOR INTERNATIONAL LTD.</w:t>
            </w:r>
          </w:p>
        </w:tc>
      </w:tr>
      <w:tr>
        <w:trPr>
          <w:trHeight w:val="432"/>
        </w:trPr>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80" w:type="dxa"/>
            <w:vAlign w:val="bottom"/>
            <w:gridSpan w:val="2"/>
          </w:tcPr>
          <w:p>
            <w:pPr>
              <w:ind w:left="1780"/>
              <w:spacing w:after="0"/>
              <w:rPr>
                <w:sz w:val="20"/>
                <w:szCs w:val="20"/>
                <w:color w:val="auto"/>
              </w:rPr>
            </w:pPr>
            <w:r>
              <w:rPr>
                <w:rFonts w:ascii="Arial" w:cs="Arial" w:eastAsia="Arial" w:hAnsi="Arial"/>
                <w:sz w:val="18"/>
                <w:szCs w:val="18"/>
                <w:color w:val="auto"/>
              </w:rPr>
              <w:t>By:</w:t>
            </w:r>
          </w:p>
        </w:tc>
      </w:tr>
      <w:tr>
        <w:trPr>
          <w:trHeight w:val="209"/>
        </w:trPr>
        <w:tc>
          <w:tcPr>
            <w:tcW w:w="3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60" w:type="dxa"/>
            <w:vAlign w:val="bottom"/>
          </w:tcPr>
          <w:p>
            <w:pPr>
              <w:ind w:left="178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spacing w:after="0"/>
              <w:rPr>
                <w:sz w:val="18"/>
                <w:szCs w:val="18"/>
                <w:color w:val="auto"/>
              </w:rPr>
            </w:pPr>
          </w:p>
        </w:tc>
      </w:tr>
      <w:tr>
        <w:trPr>
          <w:trHeight w:val="230"/>
        </w:trPr>
        <w:tc>
          <w:tcPr>
            <w:tcW w:w="3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80" w:type="dxa"/>
            <w:vAlign w:val="bottom"/>
            <w:gridSpan w:val="2"/>
          </w:tcPr>
          <w:p>
            <w:pPr>
              <w:ind w:left="1780"/>
              <w:spacing w:after="0"/>
              <w:rPr>
                <w:sz w:val="20"/>
                <w:szCs w:val="20"/>
                <w:color w:val="auto"/>
              </w:rPr>
            </w:pPr>
            <w:r>
              <w:rPr>
                <w:rFonts w:ascii="Arial" w:cs="Arial" w:eastAsia="Arial" w:hAnsi="Arial"/>
                <w:sz w:val="18"/>
                <w:szCs w:val="18"/>
                <w:color w:val="auto"/>
              </w:rPr>
              <w:t>Title:</w:t>
            </w:r>
          </w:p>
        </w:tc>
      </w:tr>
    </w:tbl>
    <w:p>
      <w:pPr>
        <w:spacing w:after="0" w:line="202" w:lineRule="exact"/>
        <w:rPr>
          <w:sz w:val="20"/>
          <w:szCs w:val="20"/>
          <w:color w:val="auto"/>
        </w:rPr>
      </w:pPr>
    </w:p>
    <w:p>
      <w:pPr>
        <w:jc w:val="right"/>
        <w:ind w:left="120"/>
        <w:spacing w:after="0" w:line="284"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and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700" w:type="dxa"/>
            <w:vAlign w:val="bottom"/>
            <w:gridSpan w:val="6"/>
          </w:tcPr>
          <w:p>
            <w:pPr>
              <w:ind w:left="140"/>
              <w:spacing w:after="0"/>
              <w:rPr>
                <w:sz w:val="20"/>
                <w:szCs w:val="20"/>
                <w:color w:val="auto"/>
              </w:rPr>
            </w:pPr>
            <w:r>
              <w:rPr>
                <w:rFonts w:ascii="Arial" w:cs="Arial" w:eastAsia="Arial" w:hAnsi="Arial"/>
                <w:sz w:val="18"/>
                <w:szCs w:val="18"/>
                <w:color w:val="auto"/>
                <w:w w:val="93"/>
              </w:rPr>
              <w:t>Pursuant to the requirements of the Securities Act of 1933, as amended, this registration statement has been signed by the following persons</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on</w:t>
            </w:r>
          </w:p>
        </w:tc>
        <w:tc>
          <w:tcPr>
            <w:tcW w:w="4740" w:type="dxa"/>
            <w:vAlign w:val="bottom"/>
            <w:gridSpan w:val="3"/>
          </w:tcPr>
          <w:p>
            <w:pPr>
              <w:ind w:left="460"/>
              <w:spacing w:after="0"/>
              <w:rPr>
                <w:sz w:val="20"/>
                <w:szCs w:val="20"/>
                <w:color w:val="auto"/>
              </w:rPr>
            </w:pPr>
            <w:r>
              <w:rPr>
                <w:rFonts w:ascii="Arial" w:cs="Arial" w:eastAsia="Arial" w:hAnsi="Arial"/>
                <w:sz w:val="18"/>
                <w:szCs w:val="18"/>
                <w:color w:val="auto"/>
              </w:rPr>
              <w:t>, 2021 in the capacities indicated:</w:t>
            </w: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0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4"/>
              </w:rPr>
              <w:t>Name</w:t>
            </w:r>
          </w:p>
        </w:tc>
        <w:tc>
          <w:tcPr>
            <w:tcW w:w="2940" w:type="dxa"/>
            <w:vAlign w:val="bottom"/>
            <w:vMerge w:val="restart"/>
          </w:tcPr>
          <w:p>
            <w:pPr>
              <w:ind w:left="1760"/>
              <w:spacing w:after="0"/>
              <w:rPr>
                <w:sz w:val="20"/>
                <w:szCs w:val="20"/>
                <w:color w:val="auto"/>
              </w:rPr>
            </w:pPr>
            <w:r>
              <w:rPr>
                <w:rFonts w:ascii="Arial" w:cs="Arial" w:eastAsia="Arial" w:hAnsi="Arial"/>
                <w:sz w:val="18"/>
                <w:szCs w:val="18"/>
                <w:color w:val="auto"/>
                <w:w w:val="92"/>
              </w:rPr>
              <w:t>Chief Executive</w:t>
            </w:r>
          </w:p>
        </w:tc>
        <w:tc>
          <w:tcPr>
            <w:tcW w:w="3020" w:type="dxa"/>
            <w:vAlign w:val="bottom"/>
            <w:gridSpan w:val="2"/>
          </w:tcPr>
          <w:p>
            <w:pPr>
              <w:jc w:val="center"/>
              <w:ind w:right="2700"/>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940" w:type="dxa"/>
            <w:vAlign w:val="bottom"/>
            <w:vMerge w:val="continu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2940" w:type="dxa"/>
            <w:vAlign w:val="bottom"/>
            <w:vMerge w:val="continue"/>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Ofer Druker</w:t>
            </w:r>
          </w:p>
        </w:tc>
        <w:tc>
          <w:tcPr>
            <w:tcW w:w="596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323"/>
        </w:trPr>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96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Chief Financial Officer and Director</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Sagi Niri</w:t>
            </w:r>
          </w:p>
        </w:tc>
        <w:tc>
          <w:tcPr>
            <w:tcW w:w="5960" w:type="dxa"/>
            <w:vAlign w:val="bottom"/>
            <w:gridSpan w:val="3"/>
          </w:tcPr>
          <w:p>
            <w:pPr>
              <w:jc w:val="center"/>
              <w:ind w:left="15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Chief Operating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Yaniv Carmi</w:t>
      </w:r>
    </w:p>
    <w:p>
      <w:pPr>
        <w:spacing w:after="0" w:line="1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Non-Executive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Christopher Stibbs</w:t>
      </w:r>
    </w:p>
    <w:p>
      <w:pPr>
        <w:spacing w:after="0" w:line="13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Rebekah Brooks</w:t>
      </w:r>
    </w:p>
    <w:p>
      <w:pPr>
        <w:spacing w:after="0" w:line="13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Norm Johnston</w:t>
      </w:r>
    </w:p>
    <w:p>
      <w:pPr>
        <w:spacing w:after="0" w:line="13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Neil Jones</w:t>
      </w:r>
    </w:p>
    <w:p>
      <w:pPr>
        <w:spacing w:after="0" w:line="13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Joanna Parnell</w:t>
      </w:r>
    </w:p>
    <w:p>
      <w:pPr>
        <w:spacing w:after="0" w:line="13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Lisa Klinger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the undersigned, the duly authorized representative in the United States of</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w w:val="95"/>
              </w:rPr>
              <w:t>Tremor International Ltd. has signed this registration statement on</w:t>
            </w:r>
          </w:p>
        </w:tc>
        <w:tc>
          <w:tcPr>
            <w:tcW w:w="7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0" w:lineRule="exact"/>
        <w:rPr>
          <w:sz w:val="20"/>
          <w:szCs w:val="20"/>
          <w:color w:val="auto"/>
        </w:rPr>
      </w:pP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sectPr>
      <w:pgSz w:w="11900" w:h="16838" w:orient="portrait"/>
      <w:cols w:equalWidth="0" w:num="1">
        <w:col w:w="11120"/>
      </w:cols>
      <w:pgMar w:left="320" w:top="4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decimal"/>
      <w:start w:val="1"/>
    </w:lvl>
  </w:abstractNum>
  <w:abstractNum w:abstractNumId="1">
    <w:nsid w:val="885E1B"/>
    <w:multiLevelType w:val="hybridMultilevel"/>
    <w:lvl w:ilvl="0">
      <w:lvlJc w:val="left"/>
      <w:lvlText w:val="(%1)"/>
      <w:numFmt w:val="decimal"/>
      <w:start w:val="2"/>
    </w:lvl>
  </w:abstractNum>
  <w:abstractNum w:abstractNumId="2">
    <w:nsid w:val="76272110"/>
    <w:multiLevelType w:val="hybridMultilevel"/>
    <w:lvl w:ilvl="0">
      <w:lvlJc w:val="left"/>
      <w:lvlText w:val="(%1)"/>
      <w:numFmt w:val="decimal"/>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1"/>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1)"/>
      <w:numFmt w:val="decimal"/>
      <w:start w:val="1"/>
    </w:lvl>
  </w:abstractNum>
  <w:abstractNum w:abstractNumId="17">
    <w:nsid w:val="26F324BA"/>
    <w:multiLevelType w:val="hybridMultilevel"/>
    <w:lvl w:ilvl="0">
      <w:lvlJc w:val="left"/>
      <w:lvlText w:val="(%1)"/>
      <w:numFmt w:val="decimal"/>
      <w:start w:val="1"/>
    </w:lvl>
  </w:abstractNum>
  <w:abstractNum w:abstractNumId="18">
    <w:nsid w:val="7F01579B"/>
    <w:multiLevelType w:val="hybridMultilevel"/>
    <w:lvl w:ilvl="0">
      <w:lvlJc w:val="left"/>
      <w:lvlText w:val="(%1)"/>
      <w:numFmt w:val="lowerLetter"/>
      <w:start w:val="1"/>
    </w:lvl>
  </w:abstractNum>
  <w:abstractNum w:abstractNumId="19">
    <w:nsid w:val="49DA307D"/>
    <w:multiLevelType w:val="hybridMultilevel"/>
    <w:lvl w:ilvl="0">
      <w:lvlJc w:val="left"/>
      <w:lvlText w:val="(%1)"/>
      <w:numFmt w:val="decimal"/>
      <w:start w:val="5"/>
    </w:lvl>
  </w:abstractNum>
  <w:abstractNum w:abstractNumId="20">
    <w:nsid w:val="7055A5F5"/>
    <w:multiLevelType w:val="hybridMultilevel"/>
    <w:lvl w:ilvl="0">
      <w:lvlJc w:val="left"/>
      <w:lvlText w:val="(%1)"/>
      <w:numFmt w:val="decimal"/>
      <w:start w:val="6"/>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1."/>
      <w:numFmt w:val="decimal"/>
      <w:start w:val="1"/>
    </w:lvl>
  </w:abstractNum>
  <w:abstractNum w:abstractNumId="39">
    <w:nsid w:val="53299938"/>
    <w:multiLevelType w:val="hybridMultilevel"/>
    <w:lvl w:ilvl="0">
      <w:lvlJc w:val="left"/>
      <w:lvlText w:val="(%1)"/>
      <w:numFmt w:val="decimal"/>
      <w:start w:val="1"/>
    </w:lvl>
  </w:abstractNum>
  <w:abstractNum w:abstractNumId="40">
    <w:nsid w:val="1FBFE8E0"/>
    <w:multiLevelType w:val="hybridMultilevel"/>
    <w:lvl w:ilvl="0">
      <w:lvlJc w:val="left"/>
      <w:lvlText w:val="(%1)"/>
      <w:numFmt w:val="decimal"/>
      <w:start w:val="1"/>
    </w:lvl>
  </w:abstractNum>
  <w:abstractNum w:abstractNumId="41">
    <w:nsid w:val="5092CA79"/>
    <w:multiLevelType w:val="hybridMultilevel"/>
    <w:lvl w:ilvl="0">
      <w:lvlJc w:val="left"/>
      <w:lvlText w:val="(%1)"/>
      <w:numFmt w:val="decimal"/>
      <w:start w:val="1"/>
    </w:lvl>
  </w:abstractNum>
  <w:abstractNum w:abstractNumId="42">
    <w:nsid w:val="1D545C4D"/>
    <w:multiLevelType w:val="hybridMultilevel"/>
    <w:lvl w:ilvl="0">
      <w:lvlJc w:val="left"/>
      <w:lvlText w:val="(%1)"/>
      <w:numFmt w:val="decimal"/>
      <w:start w:val="1"/>
    </w:lvl>
  </w:abstractNum>
  <w:abstractNum w:abstractNumId="43">
    <w:nsid w:val="59ADEA3D"/>
    <w:multiLevelType w:val="hybridMultilevel"/>
    <w:lvl w:ilvl="0">
      <w:lvlJc w:val="left"/>
      <w:lvlText w:val="(%1)"/>
      <w:numFmt w:val="decimal"/>
      <w:start w:val="1"/>
    </w:lvl>
  </w:abstractNum>
  <w:abstractNum w:abstractNumId="44">
    <w:nsid w:val="288F1A34"/>
    <w:multiLevelType w:val="hybridMultilevel"/>
    <w:lvl w:ilvl="0">
      <w:lvlJc w:val="left"/>
      <w:lvlText w:val="(%1)"/>
      <w:numFmt w:val="decimal"/>
      <w:start w:val="1"/>
    </w:lvl>
  </w:abstractNum>
  <w:abstractNum w:abstractNumId="45">
    <w:nsid w:val="2A155DBC"/>
    <w:multiLevelType w:val="hybridMultilevel"/>
    <w:lvl w:ilvl="0">
      <w:lvlJc w:val="left"/>
      <w:lvlText w:val="(%1)"/>
      <w:numFmt w:val="decimal"/>
      <w:start w:val="1"/>
    </w:lvl>
  </w:abstractNum>
  <w:abstractNum w:abstractNumId="46">
    <w:nsid w:val="1D9F6E5F"/>
    <w:multiLevelType w:val="hybridMultilevel"/>
    <w:lvl w:ilvl="0">
      <w:lvlJc w:val="left"/>
      <w:lvlText w:val="(%1)"/>
      <w:numFmt w:val="decimal"/>
      <w:start w:val="1"/>
    </w:lvl>
  </w:abstractNum>
  <w:abstractNum w:abstractNumId="47">
    <w:nsid w:val="97E1B4E"/>
    <w:multiLevelType w:val="hybridMultilevel"/>
    <w:lvl w:ilvl="0">
      <w:lvlJc w:val="left"/>
      <w:lvlText w:val="(%1)"/>
      <w:numFmt w:val="decimal"/>
      <w:start w:val="1"/>
    </w:lvl>
  </w:abstractNum>
  <w:abstractNum w:abstractNumId="48">
    <w:nsid w:val="51088277"/>
    <w:multiLevelType w:val="hybridMultilevel"/>
    <w:lvl w:ilvl="0">
      <w:lvlJc w:val="left"/>
      <w:lvlText w:val="(%1)"/>
      <w:numFmt w:val="decimal"/>
      <w:start w:val="1"/>
    </w:lvl>
  </w:abstractNum>
  <w:abstractNum w:abstractNumId="49">
    <w:nsid w:val="1CA0C5FA"/>
    <w:multiLevelType w:val="hybridMultilevel"/>
    <w:lvl w:ilvl="0">
      <w:lvlJc w:val="left"/>
      <w:lvlText w:val="%1"/>
      <w:numFmt w:val="decimal"/>
      <w:start w:val="1"/>
    </w:lvl>
    <w:lvl w:ilvl="1">
      <w:lvlJc w:val="left"/>
      <w:lvlText w:val="(%2)"/>
      <w:numFmt w:val="lowerLetter"/>
      <w:start w:val="1"/>
    </w:lvl>
  </w:abstractNum>
  <w:abstractNum w:abstractNumId="50">
    <w:nsid w:val="53584BCB"/>
    <w:multiLevelType w:val="hybridMultilevel"/>
    <w:lvl w:ilvl="0">
      <w:lvlJc w:val="left"/>
      <w:lvlText w:val="(%1)"/>
      <w:numFmt w:val="decimal"/>
      <w:start w:val="5"/>
    </w:lvl>
    <w:lvl w:ilvl="1">
      <w:lvlJc w:val="left"/>
      <w:lvlText w:val="%2"/>
      <w:numFmt w:val="lowerLetter"/>
      <w:start w:val="1"/>
    </w:lvl>
  </w:abstractNum>
  <w:abstractNum w:abstractNumId="51">
    <w:nsid w:val="415E286C"/>
    <w:multiLevelType w:val="hybridMultilevel"/>
    <w:lvl w:ilvl="0">
      <w:lvlJc w:val="left"/>
      <w:lvlText w:val="(%1)"/>
      <w:numFmt w:val="decimal"/>
      <w:start w:val="1"/>
    </w:lvl>
  </w:abstractNum>
  <w:abstractNum w:abstractNumId="52">
    <w:nsid w:val="7C58FD05"/>
    <w:multiLevelType w:val="hybridMultilevel"/>
    <w:lvl w:ilvl="0">
      <w:lvlJc w:val="left"/>
      <w:lvlText w:val="(%1)"/>
      <w:numFmt w:val="decimal"/>
      <w:start w:val="4"/>
    </w:lvl>
  </w:abstractNum>
  <w:abstractNum w:abstractNumId="53">
    <w:nsid w:val="23D86AAC"/>
    <w:multiLevelType w:val="hybridMultilevel"/>
    <w:lvl w:ilvl="0">
      <w:lvlJc w:val="left"/>
      <w:lvlText w:val="2"/>
      <w:numFmt w:val="bullet"/>
      <w:start w:val="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
      <w:numFmt w:val="bullet"/>
      <w:start w:val="1"/>
    </w:lvl>
  </w:abstractNum>
  <w:abstractNum w:abstractNumId="58">
    <w:nsid w:val="4BD8591A"/>
    <w:multiLevelType w:val="hybridMultilevel"/>
    <w:lvl w:ilvl="0">
      <w:lvlJc w:val="left"/>
      <w:lvlText w:val="•"/>
      <w:numFmt w:val="bullet"/>
      <w:start w:val="1"/>
    </w:lvl>
  </w:abstractNum>
  <w:abstractNum w:abstractNumId="59">
    <w:nsid w:val="78DF6A55"/>
    <w:multiLevelType w:val="hybridMultilevel"/>
    <w:lvl w:ilvl="0">
      <w:lvlJc w:val="left"/>
      <w:lvlText w:val="•"/>
      <w:numFmt w:val="bullet"/>
      <w:start w:val="1"/>
    </w:lvl>
  </w:abstractNum>
  <w:abstractNum w:abstractNumId="60">
    <w:nsid w:val="39B7AAA2"/>
    <w:multiLevelType w:val="hybridMultilevel"/>
    <w:lvl w:ilvl="0">
      <w:lvlJc w:val="left"/>
      <w:lvlText w:val="•"/>
      <w:numFmt w:val="bullet"/>
      <w:start w:val="1"/>
    </w:lvl>
  </w:abstractNum>
  <w:abstractNum w:abstractNumId="61">
    <w:nsid w:val="2B0D8DBE"/>
    <w:multiLevelType w:val="hybridMultilevel"/>
    <w:lvl w:ilvl="0">
      <w:lvlJc w:val="left"/>
      <w:lvlText w:val="•"/>
      <w:numFmt w:val="bullet"/>
      <w:start w:val="1"/>
    </w:lvl>
  </w:abstractNum>
  <w:abstractNum w:abstractNumId="62">
    <w:nsid w:val="6C80EC70"/>
    <w:multiLevelType w:val="hybridMultilevel"/>
    <w:lvl w:ilvl="0">
      <w:lvlJc w:val="left"/>
      <w:lvlText w:val="•"/>
      <w:numFmt w:val="bullet"/>
      <w:start w:val="1"/>
    </w:lvl>
  </w:abstractNum>
  <w:abstractNum w:abstractNumId="63">
    <w:nsid w:val="379E21B5"/>
    <w:multiLevelType w:val="hybridMultilevel"/>
    <w:lvl w:ilvl="0">
      <w:lvlJc w:val="left"/>
      <w:lvlText w:val="•"/>
      <w:numFmt w:val="bullet"/>
      <w:start w:val="1"/>
    </w:lvl>
  </w:abstractNum>
  <w:abstractNum w:abstractNumId="64">
    <w:nsid w:val="69E373"/>
    <w:multiLevelType w:val="hybridMultilevel"/>
    <w:lvl w:ilvl="0">
      <w:lvlJc w:val="left"/>
      <w:lvlText w:val="•"/>
      <w:numFmt w:val="bullet"/>
      <w:start w:val="1"/>
    </w:lvl>
  </w:abstractNum>
  <w:abstractNum w:abstractNumId="65">
    <w:nsid w:val="2C27173B"/>
    <w:multiLevelType w:val="hybridMultilevel"/>
    <w:lvl w:ilvl="0">
      <w:lvlJc w:val="left"/>
      <w:lvlText w:val="•"/>
      <w:numFmt w:val="bullet"/>
      <w:start w:val="1"/>
    </w:lvl>
  </w:abstractNum>
  <w:abstractNum w:abstractNumId="66">
    <w:nsid w:val="4C9B0904"/>
    <w:multiLevelType w:val="hybridMultilevel"/>
    <w:lvl w:ilvl="0">
      <w:lvlJc w:val="left"/>
      <w:lvlText w:val="•"/>
      <w:numFmt w:val="bullet"/>
      <w:start w:val="1"/>
    </w:lvl>
  </w:abstractNum>
  <w:abstractNum w:abstractNumId="67">
    <w:nsid w:val="6AA7B75C"/>
    <w:multiLevelType w:val="hybridMultilevel"/>
    <w:lvl w:ilvl="0">
      <w:lvlJc w:val="left"/>
      <w:lvlText w:val="•"/>
      <w:numFmt w:val="bullet"/>
      <w:start w:val="1"/>
    </w:lvl>
    <w:lvl w:ilvl="1">
      <w:lvlJc w:val="left"/>
      <w:lvlText w:val="•"/>
      <w:numFmt w:val="bullet"/>
      <w:start w:val="1"/>
    </w:lvl>
  </w:abstractNum>
  <w:abstractNum w:abstractNumId="68">
    <w:nsid w:val="1DF029D3"/>
    <w:multiLevelType w:val="hybridMultilevel"/>
    <w:lvl w:ilvl="0">
      <w:lvlJc w:val="left"/>
      <w:lvlText w:val="•"/>
      <w:numFmt w:val="bullet"/>
      <w:start w:val="1"/>
    </w:lvl>
  </w:abstractNum>
  <w:abstractNum w:abstractNumId="69">
    <w:nsid w:val="5675FF36"/>
    <w:multiLevelType w:val="hybridMultilevel"/>
    <w:lvl w:ilvl="0">
      <w:lvlJc w:val="left"/>
      <w:lvlText w:val="•"/>
      <w:numFmt w:val="bullet"/>
      <w:start w:val="1"/>
    </w:lvl>
  </w:abstractNum>
  <w:abstractNum w:abstractNumId="70">
    <w:nsid w:val="3DD15094"/>
    <w:multiLevelType w:val="hybridMultilevel"/>
    <w:lvl w:ilvl="0">
      <w:lvlJc w:val="left"/>
      <w:lvlText w:val="•"/>
      <w:numFmt w:val="bullet"/>
      <w:start w:val="1"/>
    </w:lvl>
  </w:abstractNum>
  <w:abstractNum w:abstractNumId="71">
    <w:nsid w:val="3DB012B3"/>
    <w:multiLevelType w:val="hybridMultilevel"/>
    <w:lvl w:ilvl="0">
      <w:lvlJc w:val="left"/>
      <w:lvlText w:val="(%1)"/>
      <w:numFmt w:val="lowerRoman"/>
      <w:start w:val="3"/>
    </w:lvl>
  </w:abstractNum>
  <w:abstractNum w:abstractNumId="72">
    <w:nsid w:val="2708C9AF"/>
    <w:multiLevelType w:val="hybridMultilevel"/>
    <w:lvl w:ilvl="0">
      <w:lvlJc w:val="left"/>
      <w:lvlText w:val="•"/>
      <w:numFmt w:val="bullet"/>
      <w:start w:val="1"/>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w:numFmt w:val="bullet"/>
      <w:start w:val="1"/>
    </w:lvl>
  </w:abstractNum>
  <w:abstractNum w:abstractNumId="76">
    <w:nsid w:val="53B0A9E"/>
    <w:multiLevelType w:val="hybridMultilevel"/>
    <w:lvl w:ilvl="0">
      <w:lvlJc w:val="left"/>
      <w:lvlText w:val="•"/>
      <w:numFmt w:val="bullet"/>
      <w:start w:val="1"/>
    </w:lvl>
  </w:abstractNum>
  <w:abstractNum w:abstractNumId="77">
    <w:nsid w:val="34FD6B4F"/>
    <w:multiLevelType w:val="hybridMultilevel"/>
    <w:lvl w:ilvl="0">
      <w:lvlJc w:val="left"/>
      <w:lvlText w:val="•"/>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
      <w:numFmt w:val="bullet"/>
      <w:start w:val="1"/>
    </w:lvl>
  </w:abstractNum>
  <w:abstractNum w:abstractNumId="82">
    <w:nsid w:val="17A1B582"/>
    <w:multiLevelType w:val="hybridMultilevel"/>
    <w:lvl w:ilvl="0">
      <w:lvlJc w:val="left"/>
      <w:lvlText w:val="(%1)"/>
      <w:numFmt w:val="lowerRoman"/>
      <w:start w:val="1"/>
    </w:lvl>
  </w:abstractNum>
  <w:abstractNum w:abstractNumId="83">
    <w:nsid w:val="4DF72E4E"/>
    <w:multiLevelType w:val="hybridMultilevel"/>
    <w:lvl w:ilvl="0">
      <w:lvlJc w:val="left"/>
      <w:lvlText w:val="(%1)"/>
      <w:numFmt w:val="lowerRoman"/>
      <w:start w:val="1"/>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
      <w:numFmt w:val="bullet"/>
      <w:start w:val="1"/>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1)"/>
      <w:numFmt w:val="lowerRoman"/>
      <w:start w:val="1"/>
    </w:lvl>
  </w:abstractNum>
  <w:abstractNum w:abstractNumId="91">
    <w:nsid w:val="5399C654"/>
    <w:multiLevelType w:val="hybridMultilevel"/>
    <w:lvl w:ilvl="0">
      <w:lvlJc w:val="left"/>
      <w:lvlText w:val="•"/>
      <w:numFmt w:val="bullet"/>
      <w:start w:val="1"/>
    </w:lvl>
  </w:abstractNum>
  <w:abstractNum w:abstractNumId="92">
    <w:nsid w:val="20EE1348"/>
    <w:multiLevelType w:val="hybridMultilevel"/>
    <w:lvl w:ilvl="0">
      <w:lvlJc w:val="left"/>
      <w:lvlText w:val="•"/>
      <w:numFmt w:val="bullet"/>
      <w:start w:val="1"/>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1)"/>
      <w:numFmt w:val="lowerLetter"/>
      <w:start w:val="1"/>
    </w:lvl>
    <w:lvl w:ilvl="1">
      <w:lvlJc w:val="left"/>
      <w:lvlText w:val="(%2)"/>
      <w:numFmt w:val="lowerRoman"/>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1."/>
      <w:numFmt w:val="lowerLetter"/>
      <w:start w:val="1"/>
    </w:lvl>
  </w:abstractNum>
  <w:abstractNum w:abstractNumId="98">
    <w:nsid w:val="BFFAE18"/>
    <w:multiLevelType w:val="hybridMultilevel"/>
    <w:lvl w:ilvl="0">
      <w:lvlJc w:val="left"/>
      <w:lvlText w:val="%1."/>
      <w:numFmt w:val="lowerLetter"/>
      <w:start w:val="2"/>
    </w:lvl>
  </w:abstractNum>
  <w:abstractNum w:abstractNumId="99">
    <w:nsid w:val="E3E47A8"/>
    <w:multiLevelType w:val="hybridMultilevel"/>
    <w:lvl w:ilvl="0">
      <w:lvlJc w:val="left"/>
      <w:lvlText w:val="%1."/>
      <w:numFmt w:val="lowerLetter"/>
      <w:start w:val="1"/>
    </w:lvl>
    <w:lvl w:ilvl="1">
      <w:lvlJc w:val="left"/>
      <w:lvlText w:val="•"/>
      <w:numFmt w:val="bullet"/>
      <w:start w:val="1"/>
    </w:lvl>
  </w:abstractNum>
  <w:abstractNum w:abstractNumId="100">
    <w:nsid w:val="2E48F044"/>
    <w:multiLevelType w:val="hybridMultilevel"/>
    <w:lvl w:ilvl="0">
      <w:lvlJc w:val="left"/>
      <w:lvlText w:val="%1."/>
      <w:numFmt w:val="lowerLetter"/>
      <w:start w:val="4"/>
    </w:lvl>
    <w:lvl w:ilvl="1">
      <w:lvlJc w:val="left"/>
      <w:lvlText w:val="•"/>
      <w:numFmt w:val="bullet"/>
      <w:start w:val="1"/>
    </w:lvl>
  </w:abstractNum>
  <w:abstractNum w:abstractNumId="101">
    <w:nsid w:val="49D0FEAC"/>
    <w:multiLevelType w:val="hybridMultilevel"/>
    <w:lvl w:ilvl="0">
      <w:lvlJc w:val="left"/>
      <w:lvlText w:val="%1"/>
      <w:numFmt w:val="lowerLetter"/>
      <w:start w:val="1"/>
    </w:lvl>
    <w:lvl w:ilvl="1">
      <w:lvlJc w:val="left"/>
      <w:lvlText w:val="•"/>
      <w:numFmt w:val="bullet"/>
      <w:start w:val="1"/>
    </w:lvl>
  </w:abstractNum>
  <w:abstractNum w:abstractNumId="102">
    <w:nsid w:val="4BEE5A5B"/>
    <w:multiLevelType w:val="hybridMultilevel"/>
    <w:lvl w:ilvl="0">
      <w:lvlJc w:val="left"/>
      <w:lvlText w:val="%1."/>
      <w:numFmt w:val="lowerLetter"/>
      <w:start w:val="1"/>
    </w:lvl>
    <w:lvl w:ilvl="1">
      <w:lvlJc w:val="left"/>
      <w:lvlText w:val="%2)"/>
      <w:numFmt w:val="decimal"/>
      <w:start w:val="1"/>
    </w:lvl>
  </w:abstractNum>
  <w:abstractNum w:abstractNumId="103">
    <w:nsid w:val="5551B9F3"/>
    <w:multiLevelType w:val="hybridMultilevel"/>
    <w:lvl w:ilvl="0">
      <w:lvlJc w:val="left"/>
      <w:lvlText w:val="%1"/>
      <w:numFmt w:val="lowerLetter"/>
      <w:start w:val="1"/>
    </w:lvl>
    <w:lvl w:ilvl="1">
      <w:lvlJc w:val="left"/>
      <w:lvlText w:val="%2)"/>
      <w:numFmt w:val="decimal"/>
      <w:start w:val="3"/>
    </w:lvl>
  </w:abstractNum>
  <w:abstractNum w:abstractNumId="104">
    <w:nsid w:val="24F6AB8E"/>
    <w:multiLevelType w:val="hybridMultilevel"/>
    <w:lvl w:ilvl="0">
      <w:lvlJc w:val="left"/>
      <w:lvlText w:val="%1."/>
      <w:numFmt w:val="lowerLetter"/>
      <w:start w:val="2"/>
    </w:lvl>
    <w:lvl w:ilvl="1">
      <w:lvlJc w:val="left"/>
      <w:lvlText w:val="%2)"/>
      <w:numFmt w:val="decimal"/>
      <w:start w:val="1"/>
    </w:lvl>
  </w:abstractNum>
  <w:abstractNum w:abstractNumId="105">
    <w:nsid w:val="634C574C"/>
    <w:multiLevelType w:val="hybridMultilevel"/>
    <w:lvl w:ilvl="0">
      <w:lvlJc w:val="left"/>
      <w:lvlText w:val="%1)"/>
      <w:numFmt w:val="decimal"/>
      <w:start w:val="2"/>
    </w:lvl>
  </w:abstractNum>
  <w:abstractNum w:abstractNumId="106">
    <w:nsid w:val="24E99DD7"/>
    <w:multiLevelType w:val="hybridMultilevel"/>
    <w:lvl w:ilvl="0">
      <w:lvlJc w:val="left"/>
      <w:lvlText w:val="%1."/>
      <w:numFmt w:val="lowerLetter"/>
      <w:start w:val="4"/>
    </w:lvl>
  </w:abstractNum>
  <w:abstractNum w:abstractNumId="107">
    <w:nsid w:val="2A31B62D"/>
    <w:multiLevelType w:val="hybridMultilevel"/>
    <w:lvl w:ilvl="0">
      <w:lvlJc w:val="left"/>
      <w:lvlText w:val="%1."/>
      <w:numFmt w:val="lowerLetter"/>
      <w:start w:val="5"/>
    </w:lvl>
    <w:lvl w:ilvl="1">
      <w:lvlJc w:val="left"/>
      <w:lvlText w:val="%2)"/>
      <w:numFmt w:val="decimal"/>
      <w:start w:val="1"/>
    </w:lvl>
  </w:abstractNum>
  <w:abstractNum w:abstractNumId="108">
    <w:nsid w:val="1849C29B"/>
    <w:multiLevelType w:val="hybridMultilevel"/>
    <w:lvl w:ilvl="0">
      <w:lvlJc w:val="left"/>
      <w:lvlText w:val="%1)"/>
      <w:numFmt w:val="decimal"/>
      <w:start w:val="2"/>
    </w:lvl>
  </w:abstractNum>
  <w:abstractNum w:abstractNumId="109">
    <w:nsid w:val="7DFF9D09"/>
    <w:multiLevelType w:val="hybridMultilevel"/>
    <w:lvl w:ilvl="0">
      <w:lvlJc w:val="left"/>
      <w:lvlText w:val="%1."/>
      <w:numFmt w:val="lowerLetter"/>
      <w:start w:val="6"/>
    </w:lvl>
    <w:lvl w:ilvl="1">
      <w:lvlJc w:val="left"/>
      <w:lvlText w:val="•"/>
      <w:numFmt w:val="bullet"/>
      <w:start w:val="1"/>
    </w:lvl>
  </w:abstractNum>
  <w:abstractNum w:abstractNumId="110">
    <w:nsid w:val="754342"/>
    <w:multiLevelType w:val="hybridMultilevel"/>
    <w:lvl w:ilvl="0">
      <w:lvlJc w:val="left"/>
      <w:lvlText w:val="•"/>
      <w:numFmt w:val="bullet"/>
      <w:start w:val="1"/>
    </w:lvl>
  </w:abstractNum>
  <w:abstractNum w:abstractNumId="111">
    <w:nsid w:val="69E7F3E5"/>
    <w:multiLevelType w:val="hybridMultilevel"/>
    <w:lvl w:ilvl="0">
      <w:lvlJc w:val="left"/>
      <w:lvlText w:val="%1."/>
      <w:numFmt w:val="lowerLetter"/>
      <w:start w:val="7"/>
    </w:lvl>
  </w:abstractNum>
  <w:abstractNum w:abstractNumId="112">
    <w:nsid w:val="2A6DE806"/>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113">
    <w:nsid w:val="1816F8C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114">
    <w:nsid w:val="37DF2233"/>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lvl w:ilvl="3">
      <w:lvlJc w:val="left"/>
      <w:lvlText w:val="%4"/>
      <w:numFmt w:val="lowerLetter"/>
      <w:start w:val="1"/>
    </w:lvl>
  </w:abstractNum>
  <w:abstractNum w:abstractNumId="115">
    <w:nsid w:val="7AB49DAF"/>
    <w:multiLevelType w:val="hybridMultilevel"/>
    <w:lvl w:ilvl="0">
      <w:lvlJc w:val="left"/>
      <w:lvlText w:val="%1."/>
      <w:numFmt w:val="lowerLetter"/>
      <w:start w:val="1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16">
    <w:nsid w:val="759F82CD"/>
    <w:multiLevelType w:val="hybridMultilevel"/>
    <w:lvl w:ilvl="0">
      <w:lvlJc w:val="left"/>
      <w:lvlText w:val="%1."/>
      <w:numFmt w:val="lowerLetter"/>
      <w:start w:val="12"/>
    </w:lvl>
  </w:abstractNum>
  <w:abstractNum w:abstractNumId="117">
    <w:nsid w:val="61E74EA3"/>
    <w:multiLevelType w:val="hybridMultilevel"/>
    <w:lvl w:ilvl="0">
      <w:lvlJc w:val="left"/>
      <w:lvlText w:val="%1."/>
      <w:numFmt w:val="lowerLetter"/>
      <w:start w:val="14"/>
    </w:lvl>
    <w:lvl w:ilvl="1">
      <w:lvlJc w:val="left"/>
      <w:lvlText w:val="•"/>
      <w:numFmt w:val="bullet"/>
      <w:start w:val="1"/>
    </w:lvl>
  </w:abstractNum>
  <w:abstractNum w:abstractNumId="118">
    <w:nsid w:val="597B4D84"/>
    <w:multiLevelType w:val="hybridMultilevel"/>
    <w:lvl w:ilvl="0">
      <w:lvlJc w:val="left"/>
      <w:lvlText w:val="%1."/>
      <w:numFmt w:val="lowerLetter"/>
      <w:start w:val="15"/>
    </w:lvl>
    <w:lvl w:ilvl="1">
      <w:lvlJc w:val="left"/>
      <w:lvlText w:val="(%2)"/>
      <w:numFmt w:val="lowerLetter"/>
      <w:start w:val="1"/>
    </w:lvl>
  </w:abstractNum>
  <w:abstractNum w:abstractNumId="119">
    <w:nsid w:val="F819E7F"/>
    <w:multiLevelType w:val="hybridMultilevel"/>
    <w:lvl w:ilvl="0">
      <w:lvlJc w:val="left"/>
      <w:lvlText w:val="%1."/>
      <w:numFmt w:val="lowerLetter"/>
      <w:start w:val="16"/>
    </w:lvl>
  </w:abstractNum>
  <w:abstractNum w:abstractNumId="120">
    <w:nsid w:val="57C7D42D"/>
    <w:multiLevelType w:val="hybridMultilevel"/>
    <w:lvl w:ilvl="0">
      <w:lvlJc w:val="left"/>
      <w:lvlText w:val="%1."/>
      <w:numFmt w:val="lowerLetter"/>
      <w:start w:val="17"/>
    </w:lvl>
    <w:lvl w:ilvl="1">
      <w:lvlJc w:val="left"/>
      <w:lvlText w:val="•"/>
      <w:numFmt w:val="bullet"/>
      <w:start w:val="1"/>
    </w:lvl>
  </w:abstractNum>
  <w:abstractNum w:abstractNumId="121">
    <w:nsid w:val="312167AD"/>
    <w:multiLevelType w:val="hybridMultilevel"/>
    <w:lvl w:ilvl="0">
      <w:lvlJc w:val="left"/>
      <w:lvlText w:val="%1."/>
      <w:numFmt w:val="lowerLetter"/>
      <w:start w:val="1"/>
    </w:lvl>
    <w:lvl w:ilvl="1">
      <w:lvlJc w:val="left"/>
      <w:lvlText w:val="%2)"/>
      <w:numFmt w:val="decimal"/>
      <w:start w:val="1"/>
    </w:lvl>
  </w:abstractNum>
  <w:abstractNum w:abstractNumId="122">
    <w:nsid w:val="631B64D4"/>
    <w:multiLevelType w:val="hybridMultilevel"/>
    <w:lvl w:ilvl="0">
      <w:lvlJc w:val="left"/>
      <w:lvlText w:val="%1)"/>
      <w:numFmt w:val="decimal"/>
      <w:start w:val="2"/>
    </w:lvl>
  </w:abstractNum>
  <w:abstractNum w:abstractNumId="123">
    <w:nsid w:val="78B5E776"/>
    <w:multiLevelType w:val="hybridMultilevel"/>
    <w:lvl w:ilvl="0">
      <w:lvlJc w:val="left"/>
      <w:lvlText w:val="%1."/>
      <w:numFmt w:val="lowerLetter"/>
      <w:start w:val="2"/>
    </w:lvl>
    <w:lvl w:ilvl="1">
      <w:lvlJc w:val="left"/>
      <w:lvlText w:val="(%2)"/>
      <w:numFmt w:val="decimal"/>
      <w:start w:val="1"/>
    </w:lvl>
  </w:abstractNum>
  <w:abstractNum w:abstractNumId="124">
    <w:nsid w:val="75486E47"/>
    <w:multiLevelType w:val="hybridMultilevel"/>
    <w:lvl w:ilvl="0">
      <w:lvlJc w:val="left"/>
      <w:lvlText w:val="%1."/>
      <w:numFmt w:val="lowerLetter"/>
      <w:start w:val="5"/>
    </w:lvl>
  </w:abstractNum>
  <w:abstractNum w:abstractNumId="125">
    <w:nsid w:val="6E534CDE"/>
    <w:multiLevelType w:val="hybridMultilevel"/>
    <w:lvl w:ilvl="0">
      <w:lvlJc w:val="left"/>
      <w:lvlText w:val="%1."/>
      <w:numFmt w:val="lowerLetter"/>
      <w:start w:val="1"/>
    </w:lvl>
    <w:lvl w:ilvl="1">
      <w:lvlJc w:val="left"/>
      <w:lvlText w:val="•"/>
      <w:numFmt w:val="bullet"/>
      <w:start w:val="1"/>
    </w:lvl>
  </w:abstractNum>
  <w:abstractNum w:abstractNumId="126">
    <w:nsid w:val="1A0DDE32"/>
    <w:multiLevelType w:val="hybridMultilevel"/>
    <w:lvl w:ilvl="0">
      <w:lvlJc w:val="left"/>
      <w:lvlText w:val="%1)"/>
      <w:numFmt w:val="decimal"/>
      <w:start w:val="1"/>
    </w:lvl>
    <w:lvl w:ilvl="1">
      <w:lvlJc w:val="left"/>
      <w:lvlText w:val="%2)"/>
      <w:numFmt w:val="lowerLetter"/>
      <w:start w:val="1"/>
    </w:lvl>
  </w:abstractNum>
  <w:abstractNum w:abstractNumId="127">
    <w:nsid w:val="65968C1C"/>
    <w:multiLevelType w:val="hybridMultilevel"/>
    <w:lvl w:ilvl="0">
      <w:lvlJc w:val="left"/>
      <w:lvlText w:val="%1)"/>
      <w:numFmt w:val="lowerLetter"/>
      <w:start w:val="2"/>
    </w:lvl>
  </w:abstractNum>
  <w:abstractNum w:abstractNumId="128">
    <w:nsid w:val="46263DEC"/>
    <w:multiLevelType w:val="hybridMultilevel"/>
    <w:lvl w:ilvl="0">
      <w:lvlJc w:val="left"/>
      <w:lvlText w:val="%1)"/>
      <w:numFmt w:val="decimal"/>
      <w:start w:val="2"/>
    </w:lvl>
  </w:abstractNum>
  <w:abstractNum w:abstractNumId="129">
    <w:nsid w:val="260D8C4A"/>
    <w:multiLevelType w:val="hybridMultilevel"/>
    <w:lvl w:ilvl="0">
      <w:lvlJc w:val="left"/>
      <w:lvlText w:val="%1)"/>
      <w:numFmt w:val="decimal"/>
      <w:start w:val="3"/>
    </w:lvl>
  </w:abstractNum>
  <w:abstractNum w:abstractNumId="130">
    <w:nsid w:val="73D4D3C4"/>
    <w:multiLevelType w:val="hybridMultilevel"/>
    <w:lvl w:ilvl="0">
      <w:lvlJc w:val="left"/>
      <w:lvlText w:val="%1)"/>
      <w:numFmt w:val="decimal"/>
      <w:start w:val="5"/>
    </w:lvl>
  </w:abstractNum>
  <w:abstractNum w:abstractNumId="131">
    <w:nsid w:val="746F2E30"/>
    <w:multiLevelType w:val="hybridMultilevel"/>
    <w:lvl w:ilvl="0">
      <w:lvlJc w:val="left"/>
      <w:lvlText w:val="%1."/>
      <w:numFmt w:val="lowerLetter"/>
      <w:start w:val="2"/>
    </w:lvl>
    <w:lvl w:ilvl="1">
      <w:lvlJc w:val="left"/>
      <w:lvlText w:val="%2)"/>
      <w:numFmt w:val="decimal"/>
      <w:start w:val="1"/>
    </w:lvl>
  </w:abstractNum>
  <w:abstractNum w:abstractNumId="132">
    <w:nsid w:val="6FDE8AF6"/>
    <w:multiLevelType w:val="hybridMultilevel"/>
    <w:lvl w:ilvl="0">
      <w:lvlJc w:val="left"/>
      <w:lvlText w:val="%1)"/>
      <w:numFmt w:val="decimal"/>
      <w:start w:val="2"/>
    </w:lvl>
  </w:abstractNum>
  <w:abstractNum w:abstractNumId="133">
    <w:nsid w:val="3FC32E20"/>
    <w:multiLevelType w:val="hybridMultilevel"/>
    <w:lvl w:ilvl="0">
      <w:lvlJc w:val="left"/>
      <w:lvlText w:val="%1)"/>
      <w:numFmt w:val="decimal"/>
      <w:start w:val="3"/>
    </w:lvl>
  </w:abstractNum>
  <w:abstractNum w:abstractNumId="134">
    <w:nsid w:val="49C0E823"/>
    <w:multiLevelType w:val="hybridMultilevel"/>
    <w:lvl w:ilvl="0">
      <w:lvlJc w:val="left"/>
      <w:lvlText w:val="%1)"/>
      <w:numFmt w:val="decimal"/>
      <w:start w:val="4"/>
    </w:lvl>
  </w:abstractNum>
  <w:abstractNum w:abstractNumId="135">
    <w:nsid w:val="14D53685"/>
    <w:multiLevelType w:val="hybridMultilevel"/>
    <w:lvl w:ilvl="0">
      <w:lvlJc w:val="left"/>
      <w:lvlText w:val="\emdash "/>
      <w:numFmt w:val="bullet"/>
      <w:start w:val="1"/>
    </w:lvl>
  </w:abstractNum>
  <w:abstractNum w:abstractNumId="136">
    <w:nsid w:val="230F856C"/>
    <w:multiLevelType w:val="hybridMultilevel"/>
    <w:lvl w:ilvl="0">
      <w:lvlJc w:val="left"/>
      <w:lvlText w:val="(%1)"/>
      <w:numFmt w:val="decimal"/>
      <w:start w:val="301"/>
    </w:lvl>
  </w:abstractNum>
  <w:abstractNum w:abstractNumId="137">
    <w:nsid w:val="6EAA85FB"/>
    <w:multiLevelType w:val="hybridMultilevel"/>
    <w:lvl w:ilvl="0">
      <w:lvlJc w:val="left"/>
      <w:lvlText w:val="%1"/>
      <w:numFmt w:val="decimal"/>
      <w:start w:val="274"/>
    </w:lvl>
  </w:abstractNum>
  <w:abstractNum w:abstractNumId="138">
    <w:nsid w:val="3F06ECB2"/>
    <w:multiLevelType w:val="hybridMultilevel"/>
    <w:lvl w:ilvl="0">
      <w:lvlJc w:val="left"/>
      <w:lvlText w:val="%1"/>
      <w:numFmt w:val="decimal"/>
      <w:start w:val="361"/>
    </w:lvl>
  </w:abstractNum>
  <w:abstractNum w:abstractNumId="139">
    <w:nsid w:val="3B594807"/>
    <w:multiLevelType w:val="hybridMultilevel"/>
    <w:lvl w:ilvl="0">
      <w:lvlJc w:val="left"/>
      <w:lvlText w:val="%1"/>
      <w:numFmt w:val="decimal"/>
      <w:start w:val="635"/>
    </w:lvl>
  </w:abstractNum>
  <w:abstractNum w:abstractNumId="140">
    <w:nsid w:val="6CAA2304"/>
    <w:multiLevelType w:val="hybridMultilevel"/>
    <w:lvl w:ilvl="0">
      <w:lvlJc w:val="left"/>
      <w:lvlText w:val="(%1)"/>
      <w:numFmt w:val="decimal"/>
      <w:start w:val="1"/>
    </w:lvl>
  </w:abstractNum>
  <w:abstractNum w:abstractNumId="141">
    <w:nsid w:val="3F7C2FF4"/>
    <w:multiLevelType w:val="hybridMultilevel"/>
    <w:lvl w:ilvl="0">
      <w:lvlJc w:val="left"/>
      <w:lvlText w:val="(%1)"/>
      <w:numFmt w:val="decimal"/>
      <w:start w:val="1"/>
    </w:lvl>
  </w:abstractNum>
  <w:abstractNum w:abstractNumId="142">
    <w:nsid w:val="25413BEC"/>
    <w:multiLevelType w:val="hybridMultilevel"/>
    <w:lvl w:ilvl="0">
      <w:lvlJc w:val="left"/>
      <w:lvlText w:val="%1)"/>
      <w:numFmt w:val="decimal"/>
      <w:start w:val="1"/>
    </w:lvl>
  </w:abstractNum>
  <w:abstractNum w:abstractNumId="143">
    <w:nsid w:val="17180B0B"/>
    <w:multiLevelType w:val="hybridMultilevel"/>
    <w:lvl w:ilvl="0">
      <w:lvlJc w:val="left"/>
      <w:lvlText w:val="%1)"/>
      <w:numFmt w:val="decimal"/>
      <w:start w:val="4"/>
    </w:lvl>
  </w:abstractNum>
  <w:abstractNum w:abstractNumId="144">
    <w:nsid w:val="579328B9"/>
    <w:multiLevelType w:val="hybridMultilevel"/>
    <w:lvl w:ilvl="0">
      <w:lvlJc w:val="left"/>
      <w:lvlText w:val="%1."/>
      <w:numFmt w:val="lowerLetter"/>
      <w:start w:val="1"/>
    </w:lvl>
    <w:lvl w:ilvl="1">
      <w:lvlJc w:val="left"/>
      <w:lvlText w:val="•"/>
      <w:numFmt w:val="bullet"/>
      <w:start w:val="1"/>
    </w:lvl>
  </w:abstractNum>
  <w:abstractNum w:abstractNumId="145">
    <w:nsid w:val="5D205E20"/>
    <w:multiLevelType w:val="hybridMultilevel"/>
    <w:lvl w:ilvl="0">
      <w:lvlJc w:val="left"/>
      <w:lvlText w:val="%1."/>
      <w:numFmt w:val="lowerLetter"/>
      <w:start w:val="2"/>
    </w:lvl>
  </w:abstractNum>
  <w:abstractNum w:abstractNumId="146">
    <w:nsid w:val="11CCA8BA"/>
    <w:multiLevelType w:val="hybridMultilevel"/>
    <w:lvl w:ilvl="0">
      <w:lvlJc w:val="left"/>
      <w:lvlText w:val="(*)"/>
      <w:numFmt w:val="bullet"/>
      <w:start w:val="1"/>
    </w:lvl>
  </w:abstractNum>
  <w:abstractNum w:abstractNumId="147">
    <w:nsid w:val="4D32AB86"/>
    <w:multiLevelType w:val="hybridMultilevel"/>
    <w:lvl w:ilvl="0">
      <w:lvlJc w:val="left"/>
      <w:lvlText w:val="%1."/>
      <w:numFmt w:val="lowerLetter"/>
      <w:start w:val="3"/>
    </w:lvl>
  </w:abstractNum>
  <w:abstractNum w:abstractNumId="148">
    <w:nsid w:val="3F07ACC3"/>
    <w:multiLevelType w:val="hybridMultilevel"/>
    <w:lvl w:ilvl="0">
      <w:lvlJc w:val="left"/>
      <w:lvlText w:val="%1."/>
      <w:numFmt w:val="lowerLetter"/>
      <w:start w:val="4"/>
    </w:lvl>
  </w:abstractNum>
  <w:abstractNum w:abstractNumId="149">
    <w:nsid w:val="6B47F63E"/>
    <w:multiLevelType w:val="hybridMultilevel"/>
    <w:lvl w:ilvl="0">
      <w:lvlJc w:val="left"/>
      <w:lvlText w:val="%1."/>
      <w:numFmt w:val="lowerLetter"/>
      <w:start w:val="5"/>
    </w:lvl>
  </w:abstractNum>
  <w:abstractNum w:abstractNumId="150">
    <w:nsid w:val="5CB44A05"/>
    <w:multiLevelType w:val="hybridMultilevel"/>
    <w:lvl w:ilvl="0">
      <w:lvlJc w:val="left"/>
      <w:lvlText w:val="%1."/>
      <w:numFmt w:val="lowerLetter"/>
      <w:start w:val="1"/>
    </w:lvl>
    <w:lvl w:ilvl="1">
      <w:lvlJc w:val="left"/>
      <w:lvlText w:val="•"/>
      <w:numFmt w:val="bullet"/>
      <w:start w:val="1"/>
    </w:lvl>
  </w:abstractNum>
  <w:abstractNum w:abstractNumId="151">
    <w:nsid w:val="16CF80F1"/>
    <w:multiLevelType w:val="hybridMultilevel"/>
    <w:lvl w:ilvl="0">
      <w:lvlJc w:val="left"/>
      <w:lvlText w:val="%1."/>
      <w:numFmt w:val="lowerLetter"/>
      <w:start w:val="2"/>
    </w:lvl>
  </w:abstractNum>
  <w:abstractNum w:abstractNumId="152">
    <w:nsid w:val="1C695DEC"/>
    <w:multiLevelType w:val="hybridMultilevel"/>
    <w:lvl w:ilvl="0">
      <w:lvlJc w:val="left"/>
      <w:lvlText w:val="(%1)"/>
      <w:numFmt w:val="lowerLetter"/>
      <w:start w:val="1"/>
    </w:lvl>
  </w:abstractNum>
  <w:abstractNum w:abstractNumId="153">
    <w:nsid w:val="3FCFAED9"/>
    <w:multiLevelType w:val="hybridMultilevel"/>
    <w:lvl w:ilvl="0">
      <w:lvlJc w:val="left"/>
      <w:lvlText w:val="%1."/>
      <w:numFmt w:val="lowerLetter"/>
      <w:start w:val="5"/>
    </w:lvl>
  </w:abstractNum>
  <w:abstractNum w:abstractNumId="154">
    <w:nsid w:val="F856867"/>
    <w:multiLevelType w:val="hybridMultilevel"/>
    <w:lvl w:ilvl="0">
      <w:lvlJc w:val="left"/>
      <w:lvlText w:val="%1."/>
      <w:numFmt w:val="lowerLetter"/>
      <w:start w:val="6"/>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1."/>
      <w:numFmt w:val="lowerLetter"/>
      <w:start w:val="2"/>
    </w:lvl>
  </w:abstractNum>
  <w:abstractNum w:abstractNumId="157">
    <w:nsid w:val="29934699"/>
    <w:multiLevelType w:val="hybridMultilevel"/>
    <w:lvl w:ilvl="0">
      <w:lvlJc w:val="left"/>
      <w:lvlText w:val="%1."/>
      <w:numFmt w:val="lowerLetter"/>
      <w:start w:val="1"/>
    </w:lvl>
  </w:abstractNum>
  <w:abstractNum w:abstractNumId="158">
    <w:nsid w:val="77485850"/>
    <w:multiLevelType w:val="hybridMultilevel"/>
    <w:lvl w:ilvl="0">
      <w:lvlJc w:val="left"/>
      <w:lvlText w:val="*"/>
      <w:numFmt w:val="bullet"/>
      <w:start w:val="1"/>
    </w:lvl>
    <w:lvl w:ilvl="1">
      <w:lvlJc w:val="left"/>
      <w:lvlText w:val="%2"/>
      <w:numFmt w:val="lowerLetter"/>
      <w:start w:val="1"/>
    </w:lvl>
  </w:abstractNum>
  <w:abstractNum w:abstractNumId="159">
    <w:nsid w:val="744939A3"/>
    <w:multiLevelType w:val="hybridMultilevel"/>
    <w:lvl w:ilvl="0">
      <w:lvlJc w:val="left"/>
      <w:lvlText w:val="(%1)"/>
      <w:numFmt w:val="decimal"/>
      <w:start w:val="1"/>
    </w:lvl>
  </w:abstractNum>
  <w:abstractNum w:abstractNumId="160">
    <w:nsid w:val="4FA0D2E3"/>
    <w:multiLevelType w:val="hybridMultilevel"/>
    <w:lvl w:ilvl="0">
      <w:lvlJc w:val="left"/>
      <w:lvlText w:val="%1."/>
      <w:numFmt w:val="lowerLetter"/>
      <w:start w:val="3"/>
    </w:lvl>
  </w:abstractNum>
  <w:abstractNum w:abstractNumId="161">
    <w:nsid w:val="6B1D2C14"/>
    <w:multiLevelType w:val="hybridMultilevel"/>
    <w:lvl w:ilvl="0">
      <w:lvlJc w:val="left"/>
      <w:lvlText w:val="(%1)"/>
      <w:numFmt w:val="decimal"/>
      <w:start w:val="1"/>
    </w:lvl>
  </w:abstractNum>
  <w:abstractNum w:abstractNumId="162">
    <w:nsid w:val="68B867D3"/>
    <w:multiLevelType w:val="hybridMultilevel"/>
    <w:lvl w:ilvl="0">
      <w:lvlJc w:val="left"/>
      <w:lvlText w:val="%1."/>
      <w:numFmt w:val="lowerLetter"/>
      <w:start w:val="1"/>
    </w:lvl>
  </w:abstractNum>
  <w:abstractNum w:abstractNumId="163">
    <w:nsid w:val="3F7F5DD9"/>
    <w:multiLevelType w:val="hybridMultilevel"/>
    <w:lvl w:ilvl="0">
      <w:lvlJc w:val="left"/>
      <w:lvlText w:val="%1."/>
      <w:numFmt w:val="lowerLetter"/>
      <w:start w:val="2"/>
    </w:lvl>
  </w:abstractNum>
  <w:abstractNum w:abstractNumId="164">
    <w:nsid w:val="2AE05A34"/>
    <w:multiLevelType w:val="hybridMultilevel"/>
    <w:lvl w:ilvl="0">
      <w:lvlJc w:val="left"/>
      <w:lvlText w:val="•"/>
      <w:numFmt w:val="bullet"/>
      <w:start w:val="1"/>
    </w:lvl>
  </w:abstractNum>
  <w:abstractNum w:abstractNumId="165">
    <w:nsid w:val="32794FF7"/>
    <w:multiLevelType w:val="hybridMultilevel"/>
    <w:lvl w:ilvl="0">
      <w:lvlJc w:val="left"/>
      <w:lvlText w:val="•"/>
      <w:numFmt w:val="bullet"/>
      <w:start w:val="1"/>
    </w:lvl>
  </w:abstractNum>
  <w:abstractNum w:abstractNumId="166">
    <w:nsid w:val="5454945E"/>
    <w:multiLevelType w:val="hybridMultilevel"/>
    <w:lvl w:ilvl="0">
      <w:lvlJc w:val="left"/>
      <w:lvlText w:val="•"/>
      <w:numFmt w:val="bullet"/>
      <w:start w:val="1"/>
    </w:lvl>
  </w:abstractNum>
  <w:abstractNum w:abstractNumId="167">
    <w:nsid w:val="4DEFDFA0"/>
    <w:multiLevelType w:val="hybridMultilevel"/>
    <w:lvl w:ilvl="0">
      <w:lvlJc w:val="left"/>
      <w:lvlText w:val="•"/>
      <w:numFmt w:val="bullet"/>
      <w:start w:val="1"/>
    </w:lvl>
  </w:abstractNum>
  <w:abstractNum w:abstractNumId="168">
    <w:nsid w:val="2123D5F2"/>
    <w:multiLevelType w:val="hybridMultilevel"/>
    <w:lvl w:ilvl="0">
      <w:lvlJc w:val="left"/>
      <w:lvlText w:val="(%1)"/>
      <w:numFmt w:val="lowerLetter"/>
      <w:start w:val="1"/>
    </w:lvl>
    <w:lvl w:ilvl="1">
      <w:lvlJc w:val="left"/>
      <w:lvlText w:val="(%2)"/>
      <w:numFmt w:val="decimal"/>
      <w:start w:val="1"/>
    </w:lvl>
  </w:abstractNum>
  <w:abstractNum w:abstractNumId="169">
    <w:nsid w:val="135B8110"/>
    <w:multiLevelType w:val="hybridMultilevel"/>
    <w:lvl w:ilvl="0">
      <w:lvlJc w:val="left"/>
      <w:lvlText w:val="*"/>
      <w:numFmt w:val="bullet"/>
      <w:start w:val="1"/>
    </w:lvl>
  </w:abstractNum>
  <w:abstractNum w:abstractNumId="170">
    <w:nsid w:val="94927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2021-05-25T23:07:28Z</dcterms:created>
  <dcterms:modified xsi:type="dcterms:W3CDTF">2021-05-25T23:07:28Z</dcterms:modified>
</cp:coreProperties>
</file>