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July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001-40504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Tremor International Ltd.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82 Yigal Alon Street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Tel Aviv, 6789124, Israel</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July 12, 2021, Tremor International Ltd.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regulatory news service announcement announcing the grant of restricted share units and performance share units to certain persons discharging managerial responsibilities (the “</w:t>
      </w:r>
      <w:r>
        <w:rPr>
          <w:rFonts w:ascii="Arial" w:cs="Arial" w:eastAsia="Arial" w:hAnsi="Arial"/>
          <w:sz w:val="18"/>
          <w:szCs w:val="18"/>
          <w:u w:val="single" w:color="auto"/>
          <w:color w:val="auto"/>
        </w:rPr>
        <w:t>PDMR Announcement</w:t>
      </w:r>
      <w:r>
        <w:rPr>
          <w:rFonts w:ascii="Arial" w:cs="Arial" w:eastAsia="Arial" w:hAnsi="Arial"/>
          <w:sz w:val="18"/>
          <w:szCs w:val="18"/>
          <w:color w:val="auto"/>
        </w:rPr>
        <w:t>”). The PDMR Announcement is furnished herewith as Exhibit 99.1 to this Report of Foreign Private Issuer on Form 6-K.</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PDMR Announcement, dated July 12, 2021</w:t>
        </w:r>
      </w:hyperlink>
    </w:p>
    <w:p>
      <w:pPr>
        <w:sectPr>
          <w:pgSz w:w="11900" w:h="16838" w:orient="portrait"/>
          <w:cols w:equalWidth="0" w:num="1">
            <w:col w:w="10920"/>
          </w:cols>
          <w:pgMar w:left="440" w:top="27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660" w:type="dxa"/>
            <w:vAlign w:val="bottom"/>
            <w:gridSpan w:val="3"/>
          </w:tcPr>
          <w:p>
            <w:pPr>
              <w:ind w:left="1960"/>
              <w:spacing w:after="0"/>
              <w:rPr>
                <w:sz w:val="20"/>
                <w:szCs w:val="20"/>
                <w:color w:val="auto"/>
              </w:rPr>
            </w:pPr>
            <w:r>
              <w:rPr>
                <w:rFonts w:ascii="Arial" w:cs="Arial" w:eastAsia="Arial" w:hAnsi="Arial"/>
                <w:sz w:val="18"/>
                <w:szCs w:val="18"/>
                <w:b w:val="1"/>
                <w:bCs w:val="1"/>
                <w:color w:val="auto"/>
              </w:rPr>
              <w:t>TREMOR INTERNATIONAL LTD.</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July 13, 2021</w:t>
            </w:r>
          </w:p>
        </w:tc>
        <w:tc>
          <w:tcPr>
            <w:tcW w:w="7660" w:type="dxa"/>
            <w:vAlign w:val="bottom"/>
            <w:gridSpan w:val="3"/>
          </w:tcPr>
          <w:p>
            <w:pPr>
              <w:jc w:val="center"/>
              <w:ind w:right="2350"/>
              <w:spacing w:after="0"/>
              <w:rPr>
                <w:sz w:val="20"/>
                <w:szCs w:val="20"/>
                <w:color w:val="auto"/>
              </w:rPr>
            </w:pPr>
            <w:r>
              <w:rPr>
                <w:rFonts w:ascii="Arial" w:cs="Arial" w:eastAsia="Arial" w:hAnsi="Arial"/>
                <w:sz w:val="18"/>
                <w:szCs w:val="18"/>
                <w:color w:val="auto"/>
              </w:rPr>
              <w:t>By:  /s/ Sagi Niri</w:t>
            </w:r>
          </w:p>
        </w:tc>
      </w:tr>
      <w:tr>
        <w:trPr>
          <w:trHeight w:val="209"/>
        </w:trPr>
        <w:tc>
          <w:tcPr>
            <w:tcW w:w="3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0"/>
              </w:rPr>
              <w:t>Name:</w:t>
            </w:r>
          </w:p>
        </w:tc>
        <w:tc>
          <w:tcPr>
            <w:tcW w:w="4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Sagi Niri</w:t>
            </w:r>
          </w:p>
        </w:tc>
      </w:tr>
      <w:tr>
        <w:trPr>
          <w:trHeight w:val="230"/>
        </w:trPr>
        <w:tc>
          <w:tcPr>
            <w:tcW w:w="3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80" w:type="dxa"/>
            <w:vAlign w:val="bottom"/>
          </w:tcPr>
          <w:p>
            <w:pPr>
              <w:jc w:val="center"/>
              <w:ind w:right="90"/>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July 2021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Tremor International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(“Tremor” </w:t>
      </w:r>
      <w:r>
        <w:rPr>
          <w:rFonts w:ascii="Arial" w:cs="Arial" w:eastAsia="Arial" w:hAnsi="Arial"/>
          <w:sz w:val="18"/>
          <w:szCs w:val="18"/>
          <w:color w:val="auto"/>
        </w:rPr>
        <w:t>or the</w:t>
      </w:r>
      <w:r>
        <w:rPr>
          <w:rFonts w:ascii="Arial" w:cs="Arial" w:eastAsia="Arial" w:hAnsi="Arial"/>
          <w:sz w:val="18"/>
          <w:szCs w:val="18"/>
          <w:b w:val="1"/>
          <w:bCs w:val="1"/>
          <w:color w:val="auto"/>
        </w:rPr>
        <w:t xml:space="preserve"> “Group”)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RSUs and PSUs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Tremor International Ltd (AIM/NASDAQ: TRMR), a global company offering an end to end software advertising platform, announces that, as previously disclosed on 30 April 2021, effective upon completion of the Company’s dual listing on Nasdaq on 22 June 2021, Tremor granted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and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to Ofer Druker, Yaniv Carmi and Sagi Niri, in the amounts and subject to the terms approved by the shareholders on 30 April 2021 and as disclosed in the resolutions within the Notice of EGM, dated 26 March 2021. The RSUs and PSUs granted upon completion of the U.S. dual listing are detailed below.</w:t>
      </w:r>
    </w:p>
    <w:p>
      <w:pPr>
        <w:spacing w:after="0" w:line="209" w:lineRule="exact"/>
        <w:rPr>
          <w:sz w:val="20"/>
          <w:szCs w:val="20"/>
          <w:color w:val="auto"/>
        </w:rPr>
      </w:pPr>
    </w:p>
    <w:tbl>
      <w:tblPr>
        <w:tblLayout w:type="fixed"/>
        <w:tblInd w:w="450" w:type="dxa"/>
        <w:tblCellMar>
          <w:top w:w="0" w:type="dxa"/>
          <w:left w:w="0" w:type="dxa"/>
          <w:bottom w:w="0" w:type="dxa"/>
          <w:right w:w="0" w:type="dxa"/>
        </w:tblCellMar>
      </w:tblPr>
      <w:tr>
        <w:trPr>
          <w:trHeight w:val="162"/>
        </w:trPr>
        <w:tc>
          <w:tcPr>
            <w:tcW w:w="3460" w:type="dxa"/>
            <w:vAlign w:val="bottom"/>
            <w:tcBorders>
              <w:bottom w:val="single" w:sz="8" w:color="auto"/>
              <w:right w:val="single" w:sz="8" w:color="auto"/>
            </w:tcBorders>
          </w:tcPr>
          <w:p>
            <w:pPr>
              <w:spacing w:after="0"/>
              <w:rPr>
                <w:sz w:val="14"/>
                <w:szCs w:val="14"/>
                <w:color w:val="auto"/>
              </w:rPr>
            </w:pPr>
          </w:p>
        </w:tc>
        <w:tc>
          <w:tcPr>
            <w:tcW w:w="3360" w:type="dxa"/>
            <w:vAlign w:val="bottom"/>
            <w:tcBorders>
              <w:top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4"/>
                <w:szCs w:val="14"/>
                <w:b w:val="1"/>
                <w:bCs w:val="1"/>
                <w:color w:val="auto"/>
              </w:rPr>
              <w:t>RSUs</w:t>
            </w:r>
          </w:p>
        </w:tc>
        <w:tc>
          <w:tcPr>
            <w:tcW w:w="3320" w:type="dxa"/>
            <w:vAlign w:val="bottom"/>
            <w:tcBorders>
              <w:top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4"/>
                <w:szCs w:val="14"/>
                <w:b w:val="1"/>
                <w:bCs w:val="1"/>
                <w:color w:val="auto"/>
              </w:rPr>
              <w:t>PSUs</w:t>
            </w:r>
          </w:p>
        </w:tc>
      </w:tr>
      <w:tr>
        <w:trPr>
          <w:trHeight w:val="210"/>
        </w:trPr>
        <w:tc>
          <w:tcPr>
            <w:tcW w:w="34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Ofer Druker</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2,625,000</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1,125,000</w:t>
            </w:r>
          </w:p>
        </w:tc>
      </w:tr>
      <w:tr>
        <w:trPr>
          <w:trHeight w:val="209"/>
        </w:trPr>
        <w:tc>
          <w:tcPr>
            <w:tcW w:w="34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3"/>
              </w:rPr>
              <w:t>Yaniv Carmi</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1,155,000</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495,000</w:t>
            </w:r>
          </w:p>
        </w:tc>
      </w:tr>
      <w:tr>
        <w:trPr>
          <w:trHeight w:val="209"/>
        </w:trPr>
        <w:tc>
          <w:tcPr>
            <w:tcW w:w="34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4"/>
              </w:rPr>
              <w:t>Sagi Niri</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945,000</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405,000</w:t>
            </w:r>
          </w:p>
        </w:tc>
      </w:tr>
      <w:tr>
        <w:trPr>
          <w:trHeight w:val="210"/>
        </w:trPr>
        <w:tc>
          <w:tcPr>
            <w:tcW w:w="34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9"/>
              </w:rPr>
              <w:t>Total</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4,725,000</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2,025,000</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RSUs will vest gradually over a period of three years, with 8.33% of each such grant vesting each quarter, subject to the executive continuing to be employed by the group on the applicable vesting date. The PSUs will vest gradually over a period of three years, with 33.33% of each grant vesting each year, subject to (i) the executive continuing to be employed by the group on the applicable vesting date, and (ii) compliance with performance-based metrics as determined by the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or enquiries please contact: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80" w:type="dxa"/>
            <w:vAlign w:val="bottom"/>
          </w:tcPr>
          <w:p>
            <w:pPr>
              <w:spacing w:after="0"/>
              <w:rPr>
                <w:sz w:val="20"/>
                <w:szCs w:val="20"/>
                <w:color w:val="auto"/>
              </w:rPr>
            </w:pPr>
            <w:r>
              <w:rPr>
                <w:rFonts w:ascii="Arial" w:cs="Arial" w:eastAsia="Arial" w:hAnsi="Arial"/>
                <w:sz w:val="20"/>
                <w:szCs w:val="20"/>
                <w:b w:val="1"/>
                <w:bCs w:val="1"/>
                <w:color w:val="auto"/>
              </w:rPr>
              <w:t>Tremor International Ltd</w:t>
            </w:r>
          </w:p>
        </w:tc>
        <w:tc>
          <w:tcPr>
            <w:tcW w:w="4140" w:type="dxa"/>
            <w:vAlign w:val="bottom"/>
          </w:tcPr>
          <w:p>
            <w:pPr>
              <w:jc w:val="right"/>
              <w:spacing w:after="0"/>
              <w:rPr>
                <w:sz w:val="20"/>
                <w:szCs w:val="20"/>
                <w:color w:val="auto"/>
              </w:rPr>
            </w:pPr>
            <w:r>
              <w:rPr>
                <w:rFonts w:ascii="Arial" w:cs="Arial" w:eastAsia="Arial" w:hAnsi="Arial"/>
                <w:sz w:val="20"/>
                <w:szCs w:val="20"/>
                <w:color w:val="auto"/>
              </w:rPr>
              <w:t>Tel: +972 3 545 3900</w:t>
            </w:r>
          </w:p>
        </w:tc>
      </w:tr>
      <w:tr>
        <w:trPr>
          <w:trHeight w:val="414"/>
        </w:trPr>
        <w:tc>
          <w:tcPr>
            <w:tcW w:w="6880" w:type="dxa"/>
            <w:vAlign w:val="bottom"/>
          </w:tcPr>
          <w:p>
            <w:pPr>
              <w:spacing w:after="0"/>
              <w:rPr>
                <w:sz w:val="20"/>
                <w:szCs w:val="20"/>
                <w:color w:val="auto"/>
              </w:rPr>
            </w:pPr>
            <w:r>
              <w:rPr>
                <w:rFonts w:ascii="Arial" w:cs="Arial" w:eastAsia="Arial" w:hAnsi="Arial"/>
                <w:sz w:val="18"/>
                <w:szCs w:val="18"/>
                <w:color w:val="auto"/>
              </w:rPr>
              <w:t>Chris Stibbs, Non-Executive Chairman</w:t>
            </w:r>
          </w:p>
        </w:tc>
        <w:tc>
          <w:tcPr>
            <w:tcW w:w="4140" w:type="dxa"/>
            <w:vAlign w:val="bottom"/>
          </w:tcPr>
          <w:p>
            <w:pPr>
              <w:spacing w:after="0"/>
              <w:rPr>
                <w:sz w:val="24"/>
                <w:szCs w:val="24"/>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Sagi Niri, Chief Financial Officer</w:t>
            </w:r>
          </w:p>
        </w:tc>
        <w:tc>
          <w:tcPr>
            <w:tcW w:w="4140" w:type="dxa"/>
            <w:vAlign w:val="bottom"/>
          </w:tcPr>
          <w:p>
            <w:pPr>
              <w:spacing w:after="0"/>
              <w:rPr>
                <w:sz w:val="20"/>
                <w:szCs w:val="20"/>
                <w:color w:val="auto"/>
              </w:rPr>
            </w:pPr>
          </w:p>
        </w:tc>
      </w:tr>
      <w:tr>
        <w:trPr>
          <w:trHeight w:val="431"/>
        </w:trPr>
        <w:tc>
          <w:tcPr>
            <w:tcW w:w="6880" w:type="dxa"/>
            <w:vAlign w:val="bottom"/>
          </w:tcPr>
          <w:p>
            <w:pPr>
              <w:spacing w:after="0"/>
              <w:rPr>
                <w:sz w:val="20"/>
                <w:szCs w:val="20"/>
                <w:color w:val="auto"/>
              </w:rPr>
            </w:pPr>
            <w:r>
              <w:rPr>
                <w:rFonts w:ascii="Arial" w:cs="Arial" w:eastAsia="Arial" w:hAnsi="Arial"/>
                <w:sz w:val="20"/>
                <w:szCs w:val="20"/>
                <w:b w:val="1"/>
                <w:bCs w:val="1"/>
                <w:color w:val="auto"/>
              </w:rPr>
              <w:t>finnCap Ltd</w:t>
            </w:r>
          </w:p>
        </w:tc>
        <w:tc>
          <w:tcPr>
            <w:tcW w:w="4140" w:type="dxa"/>
            <w:vAlign w:val="bottom"/>
          </w:tcPr>
          <w:p>
            <w:pPr>
              <w:jc w:val="right"/>
              <w:spacing w:after="0"/>
              <w:rPr>
                <w:sz w:val="20"/>
                <w:szCs w:val="20"/>
                <w:color w:val="auto"/>
              </w:rPr>
            </w:pPr>
            <w:r>
              <w:rPr>
                <w:rFonts w:ascii="Arial" w:cs="Arial" w:eastAsia="Arial" w:hAnsi="Arial"/>
                <w:sz w:val="20"/>
                <w:szCs w:val="20"/>
                <w:color w:val="auto"/>
              </w:rPr>
              <w:t>Tel: +44 20 7220 0500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Jonny Franklin-Adams / James Thompson (Corporate Finance)</w:t>
            </w:r>
          </w:p>
        </w:tc>
        <w:tc>
          <w:tcPr>
            <w:tcW w:w="4140" w:type="dxa"/>
            <w:vAlign w:val="bottom"/>
          </w:tcPr>
          <w:p>
            <w:pPr>
              <w:spacing w:after="0"/>
              <w:rPr>
                <w:sz w:val="18"/>
                <w:szCs w:val="18"/>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Tim Redfern / Dicky Chambers (ECM)</w:t>
            </w:r>
          </w:p>
        </w:tc>
        <w:tc>
          <w:tcPr>
            <w:tcW w:w="4140" w:type="dxa"/>
            <w:vAlign w:val="bottom"/>
          </w:tcPr>
          <w:p>
            <w:pPr>
              <w:spacing w:after="0"/>
              <w:rPr>
                <w:sz w:val="20"/>
                <w:szCs w:val="20"/>
                <w:color w:val="auto"/>
              </w:rPr>
            </w:pPr>
          </w:p>
        </w:tc>
      </w:tr>
      <w:tr>
        <w:trPr>
          <w:trHeight w:val="431"/>
        </w:trPr>
        <w:tc>
          <w:tcPr>
            <w:tcW w:w="6880" w:type="dxa"/>
            <w:vAlign w:val="bottom"/>
          </w:tcPr>
          <w:p>
            <w:pPr>
              <w:spacing w:after="0"/>
              <w:rPr>
                <w:sz w:val="20"/>
                <w:szCs w:val="20"/>
                <w:color w:val="auto"/>
              </w:rPr>
            </w:pPr>
            <w:r>
              <w:rPr>
                <w:rFonts w:ascii="Arial" w:cs="Arial" w:eastAsia="Arial" w:hAnsi="Arial"/>
                <w:sz w:val="20"/>
                <w:szCs w:val="20"/>
                <w:b w:val="1"/>
                <w:bCs w:val="1"/>
                <w:color w:val="auto"/>
              </w:rPr>
              <w:t>Stifel Nicolaus Europe Limited</w:t>
            </w:r>
          </w:p>
        </w:tc>
        <w:tc>
          <w:tcPr>
            <w:tcW w:w="4140" w:type="dxa"/>
            <w:vAlign w:val="bottom"/>
          </w:tcPr>
          <w:p>
            <w:pPr>
              <w:jc w:val="right"/>
              <w:spacing w:after="0"/>
              <w:rPr>
                <w:sz w:val="20"/>
                <w:szCs w:val="20"/>
                <w:color w:val="auto"/>
              </w:rPr>
            </w:pPr>
            <w:r>
              <w:rPr>
                <w:rFonts w:ascii="Arial" w:cs="Arial" w:eastAsia="Arial" w:hAnsi="Arial"/>
                <w:sz w:val="20"/>
                <w:szCs w:val="20"/>
                <w:color w:val="auto"/>
              </w:rPr>
              <w:t>Tel: +44 20 7710 7600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Fred Walsh</w:t>
            </w:r>
          </w:p>
        </w:tc>
        <w:tc>
          <w:tcPr>
            <w:tcW w:w="414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Alain Dobkin</w:t>
            </w:r>
          </w:p>
        </w:tc>
        <w:tc>
          <w:tcPr>
            <w:tcW w:w="414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Nick Adams</w:t>
            </w:r>
          </w:p>
        </w:tc>
        <w:tc>
          <w:tcPr>
            <w:tcW w:w="4140" w:type="dxa"/>
            <w:vAlign w:val="bottom"/>
          </w:tcPr>
          <w:p>
            <w:pPr>
              <w:spacing w:after="0"/>
              <w:rPr>
                <w:sz w:val="18"/>
                <w:szCs w:val="18"/>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Richard Short</w:t>
            </w:r>
          </w:p>
        </w:tc>
        <w:tc>
          <w:tcPr>
            <w:tcW w:w="4140" w:type="dxa"/>
            <w:vAlign w:val="bottom"/>
          </w:tcPr>
          <w:p>
            <w:pPr>
              <w:spacing w:after="0"/>
              <w:rPr>
                <w:sz w:val="20"/>
                <w:szCs w:val="20"/>
                <w:color w:val="auto"/>
              </w:rPr>
            </w:pPr>
          </w:p>
        </w:tc>
      </w:tr>
      <w:tr>
        <w:trPr>
          <w:trHeight w:val="431"/>
        </w:trPr>
        <w:tc>
          <w:tcPr>
            <w:tcW w:w="6880" w:type="dxa"/>
            <w:vAlign w:val="bottom"/>
          </w:tcPr>
          <w:p>
            <w:pPr>
              <w:spacing w:after="0"/>
              <w:rPr>
                <w:sz w:val="20"/>
                <w:szCs w:val="20"/>
                <w:color w:val="auto"/>
              </w:rPr>
            </w:pPr>
            <w:r>
              <w:rPr>
                <w:rFonts w:ascii="Arial" w:cs="Arial" w:eastAsia="Arial" w:hAnsi="Arial"/>
                <w:sz w:val="20"/>
                <w:szCs w:val="20"/>
                <w:b w:val="1"/>
                <w:bCs w:val="1"/>
                <w:color w:val="auto"/>
              </w:rPr>
              <w:t>Vigo Communications</w:t>
            </w:r>
          </w:p>
        </w:tc>
        <w:tc>
          <w:tcPr>
            <w:tcW w:w="4140" w:type="dxa"/>
            <w:vAlign w:val="bottom"/>
          </w:tcPr>
          <w:p>
            <w:pPr>
              <w:jc w:val="right"/>
              <w:spacing w:after="0"/>
              <w:rPr>
                <w:sz w:val="20"/>
                <w:szCs w:val="20"/>
                <w:color w:val="auto"/>
              </w:rPr>
            </w:pPr>
            <w:r>
              <w:rPr>
                <w:rFonts w:ascii="Arial" w:cs="Arial" w:eastAsia="Arial" w:hAnsi="Arial"/>
                <w:sz w:val="20"/>
                <w:szCs w:val="20"/>
                <w:color w:val="auto"/>
              </w:rPr>
              <w:t>Tel: +44 20 7390 0230</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Jeremy Garcia</w:t>
            </w:r>
          </w:p>
        </w:tc>
        <w:tc>
          <w:tcPr>
            <w:tcW w:w="4140" w:type="dxa"/>
            <w:vAlign w:val="bottom"/>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Antonia Pollock</w:t>
            </w:r>
          </w:p>
        </w:tc>
        <w:tc>
          <w:tcPr>
            <w:tcW w:w="4140" w:type="dxa"/>
            <w:vAlign w:val="bottom"/>
          </w:tcPr>
          <w:p>
            <w:pPr>
              <w:spacing w:after="0"/>
              <w:rPr>
                <w:sz w:val="18"/>
                <w:szCs w:val="18"/>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Charlie Neish</w:t>
            </w:r>
          </w:p>
        </w:tc>
        <w:tc>
          <w:tcPr>
            <w:tcW w:w="4140" w:type="dxa"/>
            <w:vAlign w:val="bottom"/>
          </w:tcPr>
          <w:p>
            <w:pPr>
              <w:spacing w:after="0"/>
              <w:rPr>
                <w:sz w:val="20"/>
                <w:szCs w:val="20"/>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Tremor International</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Tremor International Ltd is a global leader in advertising technologies, it has three core capabilities: Video, Data and CTV, and our unique approach is centred on offering a full stack end-to-end solution which provides the Company with a major advantage in the marketplace.</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Tremor Video helps advertisers deliver impactful brand stories across all screens through the power of innovative video technology combined with advanced audience data and captivating creative content. Tremor Video is one of the largest and most innovative video advertising companies in North America and globally, with offerings in CTV, in-stream, out-stream and in-app.</w:t>
      </w:r>
    </w:p>
    <w:p>
      <w:pPr>
        <w:spacing w:after="0" w:line="18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media side of Tremor, Unruly, drives real business outcomes in multiscreen advertising. Its highly ranked programmatic platform efficiently and effectively delivers performance, quality, and actionable data to demand and supply-focused clients and partners. Tremor has a meaningful number of direct integrations with publishers, unique demand relationships with the world’s biggest advertisers and privileged access to News Corp inventory. Unruly works with 95% of the AdAge 100 and 82% of video views are delivered across Comscore 1,000 sites.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Tremor International Ltd is headquartered in Israel and maintains offices throughout the US and Canada, Europe, Asia-Pacific and Australia and is traded on the London Stock Exchange (AIM: TRMR) and on the Nasdaq Global Market (NASDAQ:TRMR).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1.</w:t>
            </w:r>
          </w:p>
        </w:tc>
        <w:tc>
          <w:tcPr>
            <w:tcW w:w="10360" w:type="dxa"/>
            <w:vAlign w:val="bottom"/>
            <w:tcBorders>
              <w:top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Details of the person discharging managerial responsibilities / person closely associated</w:t>
            </w: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3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Name</w:t>
            </w:r>
          </w:p>
        </w:tc>
        <w:tc>
          <w:tcPr>
            <w:tcW w:w="72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Ofer Druker</w:t>
            </w:r>
          </w:p>
        </w:tc>
      </w:tr>
      <w:tr>
        <w:trPr>
          <w:trHeight w:val="412"/>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2.</w:t>
            </w:r>
          </w:p>
        </w:tc>
        <w:tc>
          <w:tcPr>
            <w:tcW w:w="31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Reason for the Notification</w:t>
            </w:r>
          </w:p>
        </w:tc>
        <w:tc>
          <w:tcPr>
            <w:tcW w:w="7200" w:type="dxa"/>
            <w:vAlign w:val="bottom"/>
            <w:tcBorders>
              <w:bottom w:val="single" w:sz="8" w:color="auto"/>
              <w:right w:val="single" w:sz="8" w:color="auto"/>
            </w:tcBorders>
          </w:tcPr>
          <w:p>
            <w:pPr>
              <w:spacing w:after="0"/>
              <w:rPr>
                <w:sz w:val="24"/>
                <w:szCs w:val="24"/>
                <w:color w:val="auto"/>
              </w:rPr>
            </w:pP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3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Position/status</w:t>
            </w:r>
          </w:p>
        </w:tc>
        <w:tc>
          <w:tcPr>
            <w:tcW w:w="72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Chief Executive Officer</w:t>
            </w: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3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Initial notification/Amendment</w:t>
            </w:r>
          </w:p>
        </w:tc>
        <w:tc>
          <w:tcPr>
            <w:tcW w:w="72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Initial</w:t>
            </w:r>
          </w:p>
        </w:tc>
      </w:tr>
      <w:tr>
        <w:trPr>
          <w:trHeight w:val="412"/>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3.</w:t>
            </w:r>
          </w:p>
        </w:tc>
        <w:tc>
          <w:tcPr>
            <w:tcW w:w="1036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3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Name</w:t>
            </w:r>
          </w:p>
        </w:tc>
        <w:tc>
          <w:tcPr>
            <w:tcW w:w="72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Tremor International Ltd</w:t>
            </w: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3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LEI</w:t>
            </w:r>
          </w:p>
        </w:tc>
        <w:tc>
          <w:tcPr>
            <w:tcW w:w="72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213800ZNSR7AIJZ2J557</w:t>
            </w:r>
          </w:p>
        </w:tc>
      </w:tr>
      <w:tr>
        <w:trPr>
          <w:trHeight w:val="394"/>
        </w:trPr>
        <w:tc>
          <w:tcPr>
            <w:tcW w:w="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4.</w:t>
            </w:r>
          </w:p>
        </w:tc>
        <w:tc>
          <w:tcPr>
            <w:tcW w:w="1036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4"/>
              </w:rPr>
              <w:t>Details of the transaction(s): section to be repeated for (i) each type of instrument; (ii) each type of transaction; (iii) each date;</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1036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and (iv) each place where transactions have been conducted</w:t>
            </w:r>
          </w:p>
        </w:tc>
      </w:tr>
      <w:tr>
        <w:trPr>
          <w:trHeight w:val="290"/>
        </w:trPr>
        <w:tc>
          <w:tcPr>
            <w:tcW w:w="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31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Description of the Financial instrument,</w:t>
            </w:r>
          </w:p>
        </w:tc>
        <w:tc>
          <w:tcPr>
            <w:tcW w:w="720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RSUs and PSUs over Ordinary Shares</w:t>
            </w: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type of instrument</w:t>
            </w:r>
          </w:p>
        </w:tc>
        <w:tc>
          <w:tcPr>
            <w:tcW w:w="7200" w:type="dxa"/>
            <w:vAlign w:val="bottom"/>
            <w:tcBorders>
              <w:bottom w:val="single" w:sz="8" w:color="auto"/>
              <w:right w:val="single" w:sz="8" w:color="auto"/>
            </w:tcBorders>
          </w:tcPr>
          <w:p>
            <w:pPr>
              <w:spacing w:after="0"/>
              <w:rPr>
                <w:sz w:val="20"/>
                <w:szCs w:val="20"/>
                <w:color w:val="auto"/>
              </w:rPr>
            </w:pPr>
          </w:p>
        </w:tc>
      </w:tr>
      <w:tr>
        <w:trPr>
          <w:trHeight w:val="304"/>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Identification code</w:t>
            </w:r>
          </w:p>
        </w:tc>
        <w:tc>
          <w:tcPr>
            <w:tcW w:w="72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IL0011320343</w:t>
            </w: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3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Nature of the transaction</w:t>
            </w:r>
          </w:p>
        </w:tc>
        <w:tc>
          <w:tcPr>
            <w:tcW w:w="72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Grant of RSUs and PSUs</w:t>
            </w:r>
          </w:p>
        </w:tc>
      </w:tr>
    </w:tbl>
    <w:p>
      <w:pPr>
        <w:sectPr>
          <w:pgSz w:w="11900" w:h="16838" w:orient="portrait"/>
          <w:cols w:equalWidth="0" w:num="1">
            <w:col w:w="11020"/>
          </w:cols>
          <w:pgMar w:left="440" w:top="270"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24"/>
        </w:trPr>
        <w:tc>
          <w:tcPr>
            <w:tcW w:w="6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w:t>
            </w:r>
          </w:p>
        </w:tc>
        <w:tc>
          <w:tcPr>
            <w:tcW w:w="140" w:type="dxa"/>
            <w:vAlign w:val="bottom"/>
            <w:tcBorders>
              <w:top w:val="single" w:sz="8" w:color="auto"/>
            </w:tcBorders>
          </w:tcPr>
          <w:p>
            <w:pPr>
              <w:spacing w:after="0"/>
              <w:rPr>
                <w:sz w:val="24"/>
                <w:szCs w:val="24"/>
                <w:color w:val="auto"/>
              </w:rPr>
            </w:pPr>
          </w:p>
        </w:tc>
        <w:tc>
          <w:tcPr>
            <w:tcW w:w="3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140" w:type="dxa"/>
            <w:vAlign w:val="bottom"/>
            <w:tcBorders>
              <w:top w:val="single" w:sz="8" w:color="auto"/>
            </w:tcBorders>
          </w:tcPr>
          <w:p>
            <w:pPr>
              <w:spacing w:after="0"/>
              <w:rPr>
                <w:sz w:val="24"/>
                <w:szCs w:val="24"/>
                <w:color w:val="auto"/>
              </w:rPr>
            </w:pPr>
          </w:p>
        </w:tc>
        <w:tc>
          <w:tcPr>
            <w:tcW w:w="34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3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r>
      <w:tr>
        <w:trPr>
          <w:trHeight w:val="210"/>
        </w:trPr>
        <w:tc>
          <w:tcPr>
            <w:tcW w:w="68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Price(s)</w:t>
            </w:r>
          </w:p>
        </w:tc>
        <w:tc>
          <w:tcPr>
            <w:tcW w:w="6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Volume(s)</w:t>
            </w:r>
          </w:p>
        </w:tc>
        <w:tc>
          <w:tcPr>
            <w:tcW w:w="220" w:type="dxa"/>
            <w:vAlign w:val="bottom"/>
            <w:tcBorders>
              <w:right w:val="single" w:sz="8" w:color="auto"/>
            </w:tcBorders>
          </w:tcPr>
          <w:p>
            <w:pPr>
              <w:spacing w:after="0"/>
              <w:rPr>
                <w:sz w:val="18"/>
                <w:szCs w:val="18"/>
                <w:color w:val="auto"/>
              </w:rPr>
            </w:pPr>
          </w:p>
        </w:tc>
      </w:tr>
      <w:tr>
        <w:trPr>
          <w:trHeight w:val="250"/>
        </w:trPr>
        <w:tc>
          <w:tcPr>
            <w:tcW w:w="680" w:type="dxa"/>
            <w:vAlign w:val="bottom"/>
            <w:tcBorders>
              <w:left w:val="single" w:sz="8" w:color="auto"/>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tcBorders>
              <w:righ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60" w:type="dxa"/>
            <w:vAlign w:val="bottom"/>
            <w:tcBorders>
              <w:bottom w:val="single" w:sz="8" w:color="auto"/>
            </w:tcBorders>
          </w:tcPr>
          <w:p>
            <w:pPr>
              <w:spacing w:after="0"/>
              <w:rPr>
                <w:sz w:val="21"/>
                <w:szCs w:val="21"/>
                <w:color w:val="auto"/>
              </w:rPr>
            </w:pP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3,750,000</w:t>
            </w:r>
          </w:p>
        </w:tc>
        <w:tc>
          <w:tcPr>
            <w:tcW w:w="220" w:type="dxa"/>
            <w:vAlign w:val="bottom"/>
            <w:tcBorders>
              <w:right w:val="single" w:sz="8" w:color="auto"/>
            </w:tcBorders>
          </w:tcPr>
          <w:p>
            <w:pPr>
              <w:spacing w:after="0"/>
              <w:rPr>
                <w:sz w:val="21"/>
                <w:szCs w:val="21"/>
                <w:color w:val="auto"/>
              </w:rPr>
            </w:pPr>
          </w:p>
        </w:tc>
      </w:tr>
      <w:tr>
        <w:trPr>
          <w:trHeight w:val="304"/>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24"/>
                <w:szCs w:val="24"/>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310"/>
        </w:trPr>
        <w:tc>
          <w:tcPr>
            <w:tcW w:w="680" w:type="dxa"/>
            <w:vAlign w:val="bottom"/>
            <w:tcBorders>
              <w:left w:val="single" w:sz="8" w:color="auto"/>
              <w:right w:val="single" w:sz="8" w:color="auto"/>
            </w:tcBorders>
          </w:tcPr>
          <w:p>
            <w:pPr>
              <w:spacing w:after="0"/>
              <w:rPr>
                <w:sz w:val="24"/>
                <w:szCs w:val="24"/>
                <w:color w:val="auto"/>
              </w:rPr>
            </w:pPr>
          </w:p>
        </w:tc>
        <w:tc>
          <w:tcPr>
            <w:tcW w:w="140" w:type="dxa"/>
            <w:vAlign w:val="bottom"/>
          </w:tcPr>
          <w:p>
            <w:pPr>
              <w:ind w:left="80"/>
              <w:spacing w:after="0"/>
              <w:rPr>
                <w:sz w:val="20"/>
                <w:szCs w:val="20"/>
                <w:color w:val="auto"/>
              </w:rPr>
            </w:pPr>
            <w:r>
              <w:rPr>
                <w:rFonts w:ascii="Arial" w:cs="Arial" w:eastAsia="Arial" w:hAnsi="Arial"/>
                <w:sz w:val="16"/>
                <w:szCs w:val="16"/>
                <w:color w:val="auto"/>
                <w:w w:val="70"/>
              </w:rPr>
              <w:t>•</w:t>
            </w:r>
          </w:p>
        </w:tc>
        <w:tc>
          <w:tcPr>
            <w:tcW w:w="30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Aggregated volume</w:t>
            </w:r>
          </w:p>
        </w:tc>
        <w:tc>
          <w:tcPr>
            <w:tcW w:w="140" w:type="dxa"/>
            <w:vAlign w:val="bottom"/>
          </w:tcPr>
          <w:p>
            <w:pPr>
              <w:spacing w:after="0"/>
              <w:rPr>
                <w:sz w:val="24"/>
                <w:szCs w:val="24"/>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As in 4c)</w:t>
            </w:r>
          </w:p>
        </w:tc>
        <w:tc>
          <w:tcPr>
            <w:tcW w:w="3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140" w:type="dxa"/>
            <w:vAlign w:val="bottom"/>
          </w:tcPr>
          <w:p>
            <w:pPr>
              <w:ind w:left="80"/>
              <w:spacing w:after="0"/>
              <w:rPr>
                <w:sz w:val="20"/>
                <w:szCs w:val="20"/>
                <w:color w:val="auto"/>
              </w:rPr>
            </w:pPr>
            <w:r>
              <w:rPr>
                <w:rFonts w:ascii="Arial" w:cs="Arial" w:eastAsia="Arial" w:hAnsi="Arial"/>
                <w:sz w:val="16"/>
                <w:szCs w:val="16"/>
                <w:color w:val="auto"/>
                <w:w w:val="70"/>
              </w:rPr>
              <w:t>•</w:t>
            </w:r>
          </w:p>
        </w:tc>
        <w:tc>
          <w:tcPr>
            <w:tcW w:w="30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Price</w:t>
            </w:r>
          </w:p>
        </w:tc>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324"/>
        </w:trPr>
        <w:tc>
          <w:tcPr>
            <w:tcW w:w="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24"/>
                <w:szCs w:val="24"/>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140" w:type="dxa"/>
            <w:vAlign w:val="bottom"/>
          </w:tcPr>
          <w:p>
            <w:pPr>
              <w:spacing w:after="0"/>
              <w:rPr>
                <w:sz w:val="24"/>
                <w:szCs w:val="24"/>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22 June 2021</w:t>
            </w:r>
          </w:p>
        </w:tc>
        <w:tc>
          <w:tcPr>
            <w:tcW w:w="3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32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London AIM</w:t>
            </w: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412"/>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7"/>
              </w:rPr>
              <w:t>Details of the person discharging managerial responsibilities / person closely associated</w:t>
            </w: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Yaniv Carmi</w:t>
            </w: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412"/>
        </w:trPr>
        <w:tc>
          <w:tcPr>
            <w:tcW w:w="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Chief Operating Officer</w:t>
            </w: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Initial notification/Amendment</w:t>
            </w: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Initial</w:t>
            </w: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412"/>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3.</w:t>
            </w:r>
          </w:p>
        </w:tc>
        <w:tc>
          <w:tcPr>
            <w:tcW w:w="140" w:type="dxa"/>
            <w:vAlign w:val="bottom"/>
            <w:tcBorders>
              <w:bottom w:val="single" w:sz="8" w:color="auto"/>
            </w:tcBorders>
          </w:tcPr>
          <w:p>
            <w:pPr>
              <w:spacing w:after="0"/>
              <w:rPr>
                <w:sz w:val="24"/>
                <w:szCs w:val="24"/>
                <w:color w:val="auto"/>
              </w:rPr>
            </w:pPr>
          </w:p>
        </w:tc>
        <w:tc>
          <w:tcPr>
            <w:tcW w:w="1022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Tremor International Ltd</w:t>
            </w: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LEI</w:t>
            </w: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213800ZNSR7AIJZ2J557</w:t>
            </w: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94"/>
        </w:trPr>
        <w:tc>
          <w:tcPr>
            <w:tcW w:w="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4"/>
                <w:szCs w:val="24"/>
                <w:color w:val="auto"/>
              </w:rPr>
            </w:pPr>
          </w:p>
        </w:tc>
        <w:tc>
          <w:tcPr>
            <w:tcW w:w="102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4"/>
              </w:rPr>
              <w:t>Details of the transaction(s): section to be repeated for (i) each type of instrument; (ii) each type of transaction; (iii) each date;</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and (iv) each place where transactions have been conducted</w:t>
            </w:r>
          </w:p>
        </w:tc>
        <w:tc>
          <w:tcPr>
            <w:tcW w:w="330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r>
      <w:tr>
        <w:trPr>
          <w:trHeight w:val="290"/>
        </w:trPr>
        <w:tc>
          <w:tcPr>
            <w:tcW w:w="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4"/>
                <w:szCs w:val="24"/>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Description of the Financial instrument,</w:t>
            </w:r>
          </w:p>
        </w:tc>
        <w:tc>
          <w:tcPr>
            <w:tcW w:w="140" w:type="dxa"/>
            <w:vAlign w:val="bottom"/>
          </w:tcPr>
          <w:p>
            <w:pPr>
              <w:spacing w:after="0"/>
              <w:rPr>
                <w:sz w:val="24"/>
                <w:szCs w:val="24"/>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RSUs and PSUs over Ordinary Shares</w:t>
            </w:r>
          </w:p>
        </w:tc>
        <w:tc>
          <w:tcPr>
            <w:tcW w:w="3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230"/>
        </w:trPr>
        <w:tc>
          <w:tcPr>
            <w:tcW w:w="68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of instrument</w:t>
            </w:r>
          </w:p>
        </w:tc>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324"/>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IL0011320343</w:t>
            </w: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Grant of RSUs and PSUs</w:t>
            </w:r>
          </w:p>
        </w:tc>
        <w:tc>
          <w:tcPr>
            <w:tcW w:w="3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14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209"/>
        </w:trPr>
        <w:tc>
          <w:tcPr>
            <w:tcW w:w="68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Price(s)</w:t>
            </w:r>
          </w:p>
        </w:tc>
        <w:tc>
          <w:tcPr>
            <w:tcW w:w="6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Volume(s)</w:t>
            </w:r>
          </w:p>
        </w:tc>
        <w:tc>
          <w:tcPr>
            <w:tcW w:w="220" w:type="dxa"/>
            <w:vAlign w:val="bottom"/>
            <w:tcBorders>
              <w:right w:val="single" w:sz="8" w:color="auto"/>
            </w:tcBorders>
          </w:tcPr>
          <w:p>
            <w:pPr>
              <w:spacing w:after="0"/>
              <w:rPr>
                <w:sz w:val="18"/>
                <w:szCs w:val="18"/>
                <w:color w:val="auto"/>
              </w:rPr>
            </w:pPr>
          </w:p>
        </w:tc>
      </w:tr>
      <w:tr>
        <w:trPr>
          <w:trHeight w:val="250"/>
        </w:trPr>
        <w:tc>
          <w:tcPr>
            <w:tcW w:w="680" w:type="dxa"/>
            <w:vAlign w:val="bottom"/>
            <w:tcBorders>
              <w:left w:val="single" w:sz="8" w:color="auto"/>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tcBorders>
              <w:righ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60" w:type="dxa"/>
            <w:vAlign w:val="bottom"/>
            <w:tcBorders>
              <w:bottom w:val="single" w:sz="8" w:color="auto"/>
            </w:tcBorders>
          </w:tcPr>
          <w:p>
            <w:pPr>
              <w:spacing w:after="0"/>
              <w:rPr>
                <w:sz w:val="21"/>
                <w:szCs w:val="21"/>
                <w:color w:val="auto"/>
              </w:rPr>
            </w:pPr>
          </w:p>
        </w:tc>
        <w:tc>
          <w:tcPr>
            <w:tcW w:w="3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1,650,000</w:t>
            </w:r>
          </w:p>
        </w:tc>
        <w:tc>
          <w:tcPr>
            <w:tcW w:w="220" w:type="dxa"/>
            <w:vAlign w:val="bottom"/>
            <w:tcBorders>
              <w:right w:val="single" w:sz="8" w:color="auto"/>
            </w:tcBorders>
          </w:tcPr>
          <w:p>
            <w:pPr>
              <w:spacing w:after="0"/>
              <w:rPr>
                <w:sz w:val="21"/>
                <w:szCs w:val="21"/>
                <w:color w:val="auto"/>
              </w:rPr>
            </w:pPr>
          </w:p>
        </w:tc>
      </w:tr>
      <w:tr>
        <w:trPr>
          <w:trHeight w:val="250"/>
        </w:trPr>
        <w:tc>
          <w:tcPr>
            <w:tcW w:w="680" w:type="dxa"/>
            <w:vAlign w:val="bottom"/>
            <w:tcBorders>
              <w:left w:val="single" w:sz="8" w:color="auto"/>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020"/>
          </w:cols>
          <w:pgMar w:left="440" w:top="268"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24"/>
        </w:trPr>
        <w:tc>
          <w:tcPr>
            <w:tcW w:w="7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w:t>
            </w:r>
          </w:p>
        </w:tc>
        <w:tc>
          <w:tcPr>
            <w:tcW w:w="140" w:type="dxa"/>
            <w:vAlign w:val="bottom"/>
            <w:tcBorders>
              <w:top w:val="single" w:sz="8" w:color="auto"/>
              <w:bottom w:val="single" w:sz="8" w:color="auto"/>
            </w:tcBorders>
          </w:tcPr>
          <w:p>
            <w:pPr>
              <w:spacing w:after="0"/>
              <w:rPr>
                <w:sz w:val="24"/>
                <w:szCs w:val="24"/>
                <w:color w:val="auto"/>
              </w:rPr>
            </w:pPr>
          </w:p>
        </w:tc>
        <w:tc>
          <w:tcPr>
            <w:tcW w:w="30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200" w:type="dxa"/>
            <w:vAlign w:val="bottom"/>
            <w:tcBorders>
              <w:top w:val="single" w:sz="8" w:color="auto"/>
              <w:bottom w:val="single" w:sz="8" w:color="auto"/>
            </w:tcBorders>
          </w:tcPr>
          <w:p>
            <w:pPr>
              <w:spacing w:after="0"/>
              <w:rPr>
                <w:sz w:val="24"/>
                <w:szCs w:val="24"/>
                <w:color w:val="auto"/>
              </w:rPr>
            </w:pPr>
          </w:p>
        </w:tc>
        <w:tc>
          <w:tcPr>
            <w:tcW w:w="3480" w:type="dxa"/>
            <w:vAlign w:val="bottom"/>
            <w:tcBorders>
              <w:top w:val="single" w:sz="8" w:color="auto"/>
              <w:bottom w:val="single" w:sz="8" w:color="auto"/>
            </w:tcBorders>
          </w:tcPr>
          <w:p>
            <w:pPr>
              <w:spacing w:after="0"/>
              <w:rPr>
                <w:sz w:val="24"/>
                <w:szCs w:val="24"/>
                <w:color w:val="auto"/>
              </w:rPr>
            </w:pPr>
          </w:p>
        </w:tc>
        <w:tc>
          <w:tcPr>
            <w:tcW w:w="32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right w:val="single" w:sz="8" w:color="auto"/>
            </w:tcBorders>
          </w:tcPr>
          <w:p>
            <w:pPr>
              <w:spacing w:after="0"/>
              <w:rPr>
                <w:sz w:val="24"/>
                <w:szCs w:val="24"/>
                <w:color w:val="auto"/>
              </w:rPr>
            </w:pPr>
          </w:p>
        </w:tc>
      </w:tr>
      <w:tr>
        <w:trPr>
          <w:trHeight w:val="290"/>
        </w:trPr>
        <w:tc>
          <w:tcPr>
            <w:tcW w:w="700" w:type="dxa"/>
            <w:vAlign w:val="bottom"/>
            <w:tcBorders>
              <w:left w:val="single" w:sz="8" w:color="auto"/>
              <w:right w:val="single" w:sz="8" w:color="auto"/>
            </w:tcBorders>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8"/>
                <w:szCs w:val="18"/>
                <w:color w:val="auto"/>
                <w:w w:val="94"/>
              </w:rPr>
              <w:t>•</w:t>
            </w:r>
          </w:p>
        </w:tc>
        <w:tc>
          <w:tcPr>
            <w:tcW w:w="30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Aggregated volume</w:t>
            </w:r>
          </w:p>
        </w:tc>
        <w:tc>
          <w:tcPr>
            <w:tcW w:w="20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As in 4c)</w:t>
            </w:r>
          </w:p>
        </w:tc>
        <w:tc>
          <w:tcPr>
            <w:tcW w:w="32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w:t>
            </w:r>
          </w:p>
        </w:tc>
        <w:tc>
          <w:tcPr>
            <w:tcW w:w="30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Price</w:t>
            </w:r>
          </w:p>
        </w:tc>
        <w:tc>
          <w:tcPr>
            <w:tcW w:w="2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 June 2021</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London AIM</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412"/>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7"/>
              </w:rPr>
              <w:t>Details of the person discharging managerial responsibilities / person closely associated</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Sagi Niri</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412"/>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Reason for the Notification</w:t>
            </w:r>
          </w:p>
        </w:tc>
        <w:tc>
          <w:tcPr>
            <w:tcW w:w="3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Position/status</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Financial Officer</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Initial notification/Amendment</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Initial</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412"/>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3.</w:t>
            </w:r>
          </w:p>
        </w:tc>
        <w:tc>
          <w:tcPr>
            <w:tcW w:w="140" w:type="dxa"/>
            <w:vAlign w:val="bottom"/>
            <w:tcBorders>
              <w:bottom w:val="single" w:sz="8" w:color="auto"/>
            </w:tcBorders>
          </w:tcPr>
          <w:p>
            <w:pPr>
              <w:spacing w:after="0"/>
              <w:rPr>
                <w:sz w:val="24"/>
                <w:szCs w:val="24"/>
                <w:color w:val="auto"/>
              </w:rPr>
            </w:pPr>
          </w:p>
        </w:tc>
        <w:tc>
          <w:tcPr>
            <w:tcW w:w="1020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Details of the issuer, emission allowance market participant, auction platform, auctioneer or auction monitor</w:t>
            </w: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Tremor International Ltd</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LEI</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213800ZNSR7AIJZ2J557</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94"/>
        </w:trPr>
        <w:tc>
          <w:tcPr>
            <w:tcW w:w="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24"/>
                <w:szCs w:val="24"/>
                <w:color w:val="auto"/>
              </w:rPr>
            </w:pPr>
          </w:p>
        </w:tc>
        <w:tc>
          <w:tcPr>
            <w:tcW w:w="1020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4"/>
              </w:rPr>
              <w:t>Details of the transaction(s): section to be repeated for (i) each type of instrument; (ii) each type of transaction; (iii) each date;</w:t>
            </w:r>
          </w:p>
        </w:tc>
      </w:tr>
      <w:tr>
        <w:trPr>
          <w:trHeight w:val="234"/>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and (iv) each place where transactions have been conducted</w:t>
            </w:r>
          </w:p>
        </w:tc>
        <w:tc>
          <w:tcPr>
            <w:tcW w:w="32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r>
      <w:tr>
        <w:trPr>
          <w:trHeight w:val="290"/>
        </w:trPr>
        <w:tc>
          <w:tcPr>
            <w:tcW w:w="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4"/>
                <w:szCs w:val="24"/>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Description of the Financial instrument,</w:t>
            </w:r>
          </w:p>
        </w:tc>
        <w:tc>
          <w:tcPr>
            <w:tcW w:w="20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RSUs and PSUs over Ordinary Shares</w:t>
            </w:r>
          </w:p>
        </w:tc>
        <w:tc>
          <w:tcPr>
            <w:tcW w:w="32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of instrument</w:t>
            </w:r>
          </w:p>
        </w:tc>
        <w:tc>
          <w:tcPr>
            <w:tcW w:w="2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r>
      <w:tr>
        <w:trPr>
          <w:trHeight w:val="304"/>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Identification code</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IL0011320343</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Nature of the transaction</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Grant of RSUs and PSUs</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w:t>
            </w:r>
          </w:p>
        </w:tc>
        <w:tc>
          <w:tcPr>
            <w:tcW w:w="140" w:type="dxa"/>
            <w:vAlign w:val="bottom"/>
          </w:tcPr>
          <w:p>
            <w:pPr>
              <w:spacing w:after="0"/>
              <w:rPr>
                <w:sz w:val="24"/>
                <w:szCs w:val="24"/>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Price(s) and volume(s)</w:t>
            </w:r>
          </w:p>
        </w:tc>
        <w:tc>
          <w:tcPr>
            <w:tcW w:w="20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210"/>
        </w:trPr>
        <w:tc>
          <w:tcPr>
            <w:tcW w:w="7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Price(s)</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Volume(s)</w:t>
            </w:r>
          </w:p>
        </w:tc>
        <w:tc>
          <w:tcPr>
            <w:tcW w:w="220" w:type="dxa"/>
            <w:vAlign w:val="bottom"/>
            <w:tcBorders>
              <w:right w:val="single" w:sz="8" w:color="auto"/>
            </w:tcBorders>
          </w:tcPr>
          <w:p>
            <w:pPr>
              <w:spacing w:after="0"/>
              <w:rPr>
                <w:sz w:val="18"/>
                <w:szCs w:val="18"/>
                <w:color w:val="auto"/>
              </w:rPr>
            </w:pPr>
          </w:p>
        </w:tc>
      </w:tr>
      <w:tr>
        <w:trPr>
          <w:trHeight w:val="250"/>
        </w:trPr>
        <w:tc>
          <w:tcPr>
            <w:tcW w:w="700" w:type="dxa"/>
            <w:vAlign w:val="bottom"/>
            <w:tcBorders>
              <w:left w:val="single" w:sz="8" w:color="auto"/>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tcBorders>
              <w:right w:val="single" w:sz="8" w:color="auto"/>
            </w:tcBorders>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1,350,000</w:t>
            </w:r>
          </w:p>
        </w:tc>
        <w:tc>
          <w:tcPr>
            <w:tcW w:w="220" w:type="dxa"/>
            <w:vAlign w:val="bottom"/>
            <w:tcBorders>
              <w:right w:val="single" w:sz="8" w:color="auto"/>
            </w:tcBorders>
          </w:tcPr>
          <w:p>
            <w:pPr>
              <w:spacing w:after="0"/>
              <w:rPr>
                <w:sz w:val="21"/>
                <w:szCs w:val="21"/>
                <w:color w:val="auto"/>
              </w:rPr>
            </w:pPr>
          </w:p>
        </w:tc>
      </w:tr>
      <w:tr>
        <w:trPr>
          <w:trHeight w:val="250"/>
        </w:trPr>
        <w:tc>
          <w:tcPr>
            <w:tcW w:w="700" w:type="dxa"/>
            <w:vAlign w:val="bottom"/>
            <w:tcBorders>
              <w:left w:val="single" w:sz="8" w:color="auto"/>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r>
      <w:tr>
        <w:trPr>
          <w:trHeight w:val="304"/>
        </w:trPr>
        <w:tc>
          <w:tcPr>
            <w:tcW w:w="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24"/>
                <w:szCs w:val="24"/>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Aggregated information:</w:t>
            </w:r>
          </w:p>
        </w:tc>
        <w:tc>
          <w:tcPr>
            <w:tcW w:w="2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310"/>
        </w:trPr>
        <w:tc>
          <w:tcPr>
            <w:tcW w:w="700" w:type="dxa"/>
            <w:vAlign w:val="bottom"/>
            <w:tcBorders>
              <w:left w:val="single" w:sz="8" w:color="auto"/>
              <w:right w:val="single" w:sz="8" w:color="auto"/>
            </w:tcBorders>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8"/>
                <w:szCs w:val="18"/>
                <w:color w:val="auto"/>
                <w:w w:val="94"/>
              </w:rPr>
              <w:t>•</w:t>
            </w:r>
          </w:p>
        </w:tc>
        <w:tc>
          <w:tcPr>
            <w:tcW w:w="30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Aggregated volume</w:t>
            </w:r>
          </w:p>
        </w:tc>
        <w:tc>
          <w:tcPr>
            <w:tcW w:w="20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As in 4c)</w:t>
            </w:r>
          </w:p>
        </w:tc>
        <w:tc>
          <w:tcPr>
            <w:tcW w:w="32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r>
      <w:tr>
        <w:trPr>
          <w:trHeight w:val="230"/>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w:t>
            </w:r>
          </w:p>
        </w:tc>
        <w:tc>
          <w:tcPr>
            <w:tcW w:w="30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Price</w:t>
            </w:r>
          </w:p>
        </w:tc>
        <w:tc>
          <w:tcPr>
            <w:tcW w:w="2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 of the transaction</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22 June 2021</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r>
        <w:trPr>
          <w:trHeight w:val="304"/>
        </w:trPr>
        <w:tc>
          <w:tcPr>
            <w:tcW w:w="7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w:t>
            </w: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Place of the transaction</w:t>
            </w: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London AIM</w:t>
            </w: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2021-07-13T05:26:00Z</dcterms:created>
  <dcterms:modified xsi:type="dcterms:W3CDTF">2021-07-13T05:26:00Z</dcterms:modified>
</cp:coreProperties>
</file>