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20-F</w:t>
      </w:r>
    </w:p>
    <w:p>
      <w:pPr>
        <w:spacing w:after="0" w:line="257" w:lineRule="exact"/>
        <w:rPr>
          <w:sz w:val="24"/>
          <w:szCs w:val="24"/>
          <w:color w:val="auto"/>
        </w:rPr>
      </w:pPr>
    </w:p>
    <w:p>
      <w:pPr>
        <w:jc w:val="center"/>
        <w:ind w:left="2680" w:right="1739" w:hanging="1254"/>
        <w:spacing w:after="0" w:line="282" w:lineRule="auto"/>
        <w:tabs>
          <w:tab w:leader="none" w:pos="183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OF THE SECURITIES EXCHANGE ACT OF 1934</w:t>
      </w:r>
    </w:p>
    <w:p>
      <w:pPr>
        <w:spacing w:after="0" w:line="256"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OR</w:t>
      </w:r>
    </w:p>
    <w:p>
      <w:pPr>
        <w:spacing w:after="0" w:line="347" w:lineRule="exact"/>
        <w:rPr>
          <w:sz w:val="24"/>
          <w:szCs w:val="24"/>
          <w:color w:val="auto"/>
        </w:rPr>
      </w:pPr>
    </w:p>
    <w:p>
      <w:pPr>
        <w:ind w:left="1840" w:hanging="414"/>
        <w:spacing w:after="0"/>
        <w:tabs>
          <w:tab w:leader="none" w:pos="18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w:t>
      </w:r>
    </w:p>
    <w:p>
      <w:pPr>
        <w:spacing w:after="0" w:line="29" w:lineRule="exact"/>
        <w:rPr>
          <w:rFonts w:ascii="MS PGothic" w:cs="MS PGothic" w:eastAsia="MS PGothic" w:hAnsi="MS PGothic"/>
          <w:sz w:val="18"/>
          <w:szCs w:val="18"/>
          <w:color w:val="auto"/>
        </w:rPr>
      </w:pPr>
    </w:p>
    <w:p>
      <w:pPr>
        <w:ind w:left="28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EXCHANGE ACT OF 1934</w:t>
      </w:r>
    </w:p>
    <w:p>
      <w:pPr>
        <w:spacing w:after="0" w:line="236"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 the fiscal year ended</w:t>
      </w:r>
    </w:p>
    <w:p>
      <w:pPr>
        <w:spacing w:after="0" w:line="333"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December 31, 2021</w:t>
      </w:r>
    </w:p>
    <w:p>
      <w:pPr>
        <w:spacing w:after="0" w:line="343"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OR</w:t>
      </w:r>
    </w:p>
    <w:p>
      <w:pPr>
        <w:spacing w:after="0" w:line="347" w:lineRule="exact"/>
        <w:rPr>
          <w:sz w:val="24"/>
          <w:szCs w:val="24"/>
          <w:color w:val="auto"/>
        </w:rPr>
      </w:pPr>
    </w:p>
    <w:p>
      <w:pPr>
        <w:ind w:left="1860" w:hanging="434"/>
        <w:spacing w:after="0"/>
        <w:tabs>
          <w:tab w:leader="none" w:pos="1860"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w:t>
      </w:r>
    </w:p>
    <w:p>
      <w:pPr>
        <w:spacing w:after="0" w:line="29" w:lineRule="exact"/>
        <w:rPr>
          <w:rFonts w:ascii="MS PGothic" w:cs="MS PGothic" w:eastAsia="MS PGothic" w:hAnsi="MS PGothic"/>
          <w:sz w:val="18"/>
          <w:szCs w:val="18"/>
          <w:color w:val="auto"/>
        </w:rPr>
      </w:pPr>
    </w:p>
    <w:p>
      <w:pPr>
        <w:ind w:left="26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THE SECURITIES EXCHANGE ACT OF 1934</w:t>
      </w:r>
    </w:p>
    <w:p>
      <w:pPr>
        <w:spacing w:after="0" w:line="300"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OR</w:t>
      </w:r>
    </w:p>
    <w:p>
      <w:pPr>
        <w:spacing w:after="0" w:line="374" w:lineRule="exact"/>
        <w:rPr>
          <w:sz w:val="24"/>
          <w:szCs w:val="24"/>
          <w:color w:val="auto"/>
        </w:rPr>
      </w:pPr>
    </w:p>
    <w:p>
      <w:pPr>
        <w:ind w:left="1800" w:hanging="374"/>
        <w:spacing w:after="0"/>
        <w:tabs>
          <w:tab w:leader="none" w:pos="1800" w:val="left"/>
        </w:tabs>
        <w:numPr>
          <w:ilvl w:val="0"/>
          <w:numId w:val="4"/>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w:t>
      </w:r>
    </w:p>
    <w:p>
      <w:pPr>
        <w:spacing w:after="0" w:line="29" w:lineRule="exact"/>
        <w:rPr>
          <w:rFonts w:ascii="MS PGothic" w:cs="MS PGothic" w:eastAsia="MS PGothic" w:hAnsi="MS PGothic"/>
          <w:sz w:val="18"/>
          <w:szCs w:val="18"/>
          <w:color w:val="auto"/>
        </w:rPr>
      </w:pPr>
    </w:p>
    <w:p>
      <w:pPr>
        <w:ind w:left="25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001-40504</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TREMOR INTERNATIONAL LTD.</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Israel</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(Jurisdiction of incorporation or organization)</w:t>
      </w:r>
    </w:p>
    <w:p>
      <w:pPr>
        <w:spacing w:after="0" w:line="20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82 Yigal Alon Street</w:t>
      </w:r>
    </w:p>
    <w:p>
      <w:pPr>
        <w:spacing w:after="0" w:line="27"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Tel Aviv, 6789124, Israel</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+972-3-545-3900</w:t>
      </w:r>
    </w:p>
    <w:p>
      <w:pPr>
        <w:spacing w:after="0" w:line="9"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Sagi Niri</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sniri@tremorinternational.com</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82 Yigal Alon Street</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Tel Aviv, 6789124, Israel</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+972-3-545-3900</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191770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03" w:right="1440" w:bottom="1440" w:gutter="0" w:footer="0" w:header="0"/>
        </w:sectPr>
      </w:pPr>
    </w:p>
    <w:bookmarkStart w:id="1" w:name="page2"/>
    <w:bookmarkEnd w:id="1"/>
    <w:p>
      <w:pPr>
        <w:ind w:left="1860"/>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300" w:type="dxa"/>
            <w:vAlign w:val="bottom"/>
            <w:tcBorders>
              <w:top w:val="single" w:sz="8" w:color="auto"/>
              <w:left w:val="single" w:sz="8" w:color="auto"/>
            </w:tcBorders>
          </w:tcPr>
          <w:p>
            <w:pPr>
              <w:spacing w:after="0"/>
              <w:rPr>
                <w:sz w:val="19"/>
                <w:szCs w:val="19"/>
                <w:color w:val="auto"/>
              </w:rPr>
            </w:pPr>
          </w:p>
        </w:tc>
        <w:tc>
          <w:tcPr>
            <w:tcW w:w="2660" w:type="dxa"/>
            <w:vAlign w:val="bottom"/>
            <w:tcBorders>
              <w:top w:val="single" w:sz="8" w:color="auto"/>
              <w:right w:val="single" w:sz="8" w:color="auto"/>
            </w:tcBorders>
            <w:gridSpan w:val="2"/>
          </w:tcPr>
          <w:p>
            <w:pPr>
              <w:jc w:val="center"/>
              <w:ind w:right="1300"/>
              <w:spacing w:after="0"/>
              <w:rPr>
                <w:sz w:val="20"/>
                <w:szCs w:val="20"/>
                <w:color w:val="auto"/>
              </w:rPr>
            </w:pPr>
            <w:r>
              <w:rPr>
                <w:rFonts w:ascii="Arial" w:cs="Arial" w:eastAsia="Arial" w:hAnsi="Arial"/>
                <w:sz w:val="18"/>
                <w:szCs w:val="18"/>
                <w:b w:val="1"/>
                <w:bCs w:val="1"/>
                <w:color w:val="auto"/>
                <w:w w:val="87"/>
              </w:rPr>
              <w:t>Title of each class</w:t>
            </w:r>
          </w:p>
        </w:tc>
        <w:tc>
          <w:tcPr>
            <w:tcW w:w="338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89"/>
              </w:rPr>
              <w:t>Trading Symbol(s)</w:t>
            </w:r>
          </w:p>
        </w:tc>
        <w:tc>
          <w:tcPr>
            <w:tcW w:w="260" w:type="dxa"/>
            <w:vAlign w:val="bottom"/>
            <w:tcBorders>
              <w:top w:val="single" w:sz="8" w:color="auto"/>
            </w:tcBorders>
          </w:tcPr>
          <w:p>
            <w:pPr>
              <w:spacing w:after="0"/>
              <w:rPr>
                <w:sz w:val="19"/>
                <w:szCs w:val="19"/>
                <w:color w:val="auto"/>
              </w:rPr>
            </w:pPr>
          </w:p>
        </w:tc>
        <w:tc>
          <w:tcPr>
            <w:tcW w:w="3640" w:type="dxa"/>
            <w:vAlign w:val="bottom"/>
            <w:tcBorders>
              <w:top w:val="single" w:sz="8" w:color="auto"/>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48"/>
        </w:trPr>
        <w:tc>
          <w:tcPr>
            <w:tcW w:w="1300" w:type="dxa"/>
            <w:vAlign w:val="bottom"/>
            <w:tcBorders>
              <w:left w:val="single" w:sz="8" w:color="auto"/>
              <w:bottom w:val="single" w:sz="8" w:color="auto"/>
            </w:tcBorders>
          </w:tcPr>
          <w:p>
            <w:pPr>
              <w:spacing w:after="0"/>
              <w:rPr>
                <w:sz w:val="4"/>
                <w:szCs w:val="4"/>
                <w:color w:val="auto"/>
              </w:rPr>
            </w:pPr>
          </w:p>
        </w:tc>
        <w:tc>
          <w:tcPr>
            <w:tcW w:w="1360" w:type="dxa"/>
            <w:vAlign w:val="bottom"/>
            <w:tcBorders>
              <w:top w:val="single" w:sz="8" w:color="auto"/>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20" w:type="dxa"/>
            <w:vAlign w:val="bottom"/>
            <w:tcBorders>
              <w:top w:val="single" w:sz="8" w:color="auto"/>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340" w:type="dxa"/>
            <w:vAlign w:val="bottom"/>
            <w:tcBorders>
              <w:top w:val="single" w:sz="8" w:color="auto"/>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r>
      <w:tr>
        <w:trPr>
          <w:trHeight w:val="222"/>
        </w:trPr>
        <w:tc>
          <w:tcPr>
            <w:tcW w:w="3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American Depositary Shares, each</w:t>
            </w:r>
          </w:p>
        </w:tc>
        <w:tc>
          <w:tcPr>
            <w:tcW w:w="960" w:type="dxa"/>
            <w:vAlign w:val="bottom"/>
          </w:tcPr>
          <w:p>
            <w:pPr>
              <w:spacing w:after="0"/>
              <w:rPr>
                <w:sz w:val="19"/>
                <w:szCs w:val="19"/>
                <w:color w:val="auto"/>
              </w:rPr>
            </w:pPr>
          </w:p>
        </w:tc>
        <w:tc>
          <w:tcPr>
            <w:tcW w:w="2420" w:type="dxa"/>
            <w:vAlign w:val="bottom"/>
            <w:tcBorders>
              <w:right w:val="single" w:sz="8" w:color="auto"/>
            </w:tcBorders>
            <w:gridSpan w:val="2"/>
          </w:tcPr>
          <w:p>
            <w:pPr>
              <w:jc w:val="center"/>
              <w:ind w:right="1000"/>
              <w:spacing w:after="0"/>
              <w:rPr>
                <w:sz w:val="20"/>
                <w:szCs w:val="20"/>
                <w:color w:val="auto"/>
              </w:rPr>
            </w:pPr>
            <w:r>
              <w:rPr>
                <w:rFonts w:ascii="Arial" w:cs="Arial" w:eastAsia="Arial" w:hAnsi="Arial"/>
                <w:sz w:val="18"/>
                <w:szCs w:val="18"/>
                <w:b w:val="1"/>
                <w:bCs w:val="1"/>
                <w:color w:val="auto"/>
              </w:rPr>
              <w:t>TRMR</w:t>
            </w:r>
          </w:p>
        </w:tc>
        <w:tc>
          <w:tcPr>
            <w:tcW w:w="260" w:type="dxa"/>
            <w:vAlign w:val="bottom"/>
          </w:tcPr>
          <w:p>
            <w:pPr>
              <w:spacing w:after="0"/>
              <w:rPr>
                <w:sz w:val="19"/>
                <w:szCs w:val="19"/>
                <w:color w:val="auto"/>
              </w:rPr>
            </w:pPr>
          </w:p>
        </w:tc>
        <w:tc>
          <w:tcPr>
            <w:tcW w:w="36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1"/>
              </w:rPr>
              <w:t>The Nasdaq Global Market</w:t>
            </w:r>
          </w:p>
        </w:tc>
      </w:tr>
      <w:tr>
        <w:trPr>
          <w:trHeight w:val="216"/>
        </w:trPr>
        <w:tc>
          <w:tcPr>
            <w:tcW w:w="1300" w:type="dxa"/>
            <w:vAlign w:val="bottom"/>
            <w:tcBorders>
              <w:left w:val="single" w:sz="8" w:color="auto"/>
            </w:tcBorders>
          </w:tcPr>
          <w:p>
            <w:pPr>
              <w:spacing w:after="0"/>
              <w:rPr>
                <w:sz w:val="18"/>
                <w:szCs w:val="18"/>
                <w:color w:val="auto"/>
              </w:rPr>
            </w:pPr>
          </w:p>
        </w:tc>
        <w:tc>
          <w:tcPr>
            <w:tcW w:w="2660" w:type="dxa"/>
            <w:vAlign w:val="bottom"/>
            <w:tcBorders>
              <w:right w:val="single" w:sz="8" w:color="auto"/>
            </w:tcBorders>
            <w:gridSpan w:val="2"/>
          </w:tcPr>
          <w:p>
            <w:pPr>
              <w:jc w:val="center"/>
              <w:ind w:right="1300"/>
              <w:spacing w:after="0"/>
              <w:rPr>
                <w:sz w:val="20"/>
                <w:szCs w:val="20"/>
                <w:color w:val="auto"/>
              </w:rPr>
            </w:pPr>
            <w:r>
              <w:rPr>
                <w:rFonts w:ascii="Arial" w:cs="Arial" w:eastAsia="Arial" w:hAnsi="Arial"/>
                <w:sz w:val="18"/>
                <w:szCs w:val="18"/>
                <w:color w:val="auto"/>
                <w:w w:val="87"/>
              </w:rPr>
              <w:t>representing</w:t>
            </w: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r>
      <w:tr>
        <w:trPr>
          <w:trHeight w:val="216"/>
        </w:trPr>
        <w:tc>
          <w:tcPr>
            <w:tcW w:w="3960" w:type="dxa"/>
            <w:vAlign w:val="bottom"/>
            <w:tcBorders>
              <w:left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2 ordinary shares, having par value</w:t>
            </w: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r>
      <w:tr>
        <w:trPr>
          <w:trHeight w:val="230"/>
        </w:trPr>
        <w:tc>
          <w:tcPr>
            <w:tcW w:w="1300" w:type="dxa"/>
            <w:vAlign w:val="bottom"/>
            <w:tcBorders>
              <w:left w:val="single" w:sz="8" w:color="auto"/>
            </w:tcBorders>
          </w:tcPr>
          <w:p>
            <w:pPr>
              <w:spacing w:after="0"/>
              <w:rPr>
                <w:sz w:val="20"/>
                <w:szCs w:val="20"/>
                <w:color w:val="auto"/>
              </w:rPr>
            </w:pPr>
          </w:p>
        </w:tc>
        <w:tc>
          <w:tcPr>
            <w:tcW w:w="2660" w:type="dxa"/>
            <w:vAlign w:val="bottom"/>
            <w:tcBorders>
              <w:right w:val="single" w:sz="8" w:color="auto"/>
            </w:tcBorders>
            <w:gridSpan w:val="2"/>
          </w:tcPr>
          <w:p>
            <w:pPr>
              <w:jc w:val="center"/>
              <w:ind w:right="1300"/>
              <w:spacing w:after="0"/>
              <w:rPr>
                <w:sz w:val="20"/>
                <w:szCs w:val="20"/>
                <w:color w:val="auto"/>
              </w:rPr>
            </w:pPr>
            <w:r>
              <w:rPr>
                <w:rFonts w:ascii="Arial" w:cs="Arial" w:eastAsia="Arial" w:hAnsi="Arial"/>
                <w:sz w:val="18"/>
                <w:szCs w:val="18"/>
                <w:color w:val="auto"/>
                <w:w w:val="91"/>
              </w:rPr>
              <w:t>NIS 0.01 each</w:t>
            </w:r>
          </w:p>
        </w:tc>
        <w:tc>
          <w:tcPr>
            <w:tcW w:w="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r>
      <w:tr>
        <w:trPr>
          <w:trHeight w:val="162"/>
        </w:trPr>
        <w:tc>
          <w:tcPr>
            <w:tcW w:w="1300" w:type="dxa"/>
            <w:vAlign w:val="bottom"/>
            <w:tcBorders>
              <w:left w:val="single" w:sz="8" w:color="auto"/>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3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Securities registered or to be registered pursuant to Section 12(g) of the Act: </w:t>
      </w:r>
      <w:r>
        <w:rPr>
          <w:rFonts w:ascii="Arial" w:cs="Arial" w:eastAsia="Arial" w:hAnsi="Arial"/>
          <w:sz w:val="18"/>
          <w:szCs w:val="18"/>
          <w:b w:val="1"/>
          <w:bCs w:val="1"/>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Securities for which there is a reporting obligation pursuant to Section 15(d) of the Act: </w:t>
      </w:r>
      <w:r>
        <w:rPr>
          <w:rFonts w:ascii="Arial" w:cs="Arial" w:eastAsia="Arial" w:hAnsi="Arial"/>
          <w:sz w:val="18"/>
          <w:szCs w:val="18"/>
          <w:b w:val="1"/>
          <w:bCs w:val="1"/>
          <w:color w:val="auto"/>
        </w:rPr>
        <w:t>None</w:t>
      </w:r>
    </w:p>
    <w:p>
      <w:pPr>
        <w:spacing w:after="0" w:line="22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Indicate the number of outstanding shares of each of the issuer’s classes of capital or common stock as of the close of the period covered by the Annual Report: 154,501,629 Ordinary Shares, par value NIS 0.01 per share (excluding Treasury Shares) (as of December 31, 2021)</w:t>
      </w:r>
    </w:p>
    <w:p>
      <w:pPr>
        <w:spacing w:after="0" w:line="11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9"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0"/>
          <w:szCs w:val="20"/>
          <w:color w:val="auto"/>
        </w:rPr>
      </w:pPr>
    </w:p>
    <w:p>
      <w:pPr>
        <w:jc w:val="both"/>
        <w:spacing w:after="0" w:line="23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or an emerging growth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definition of “large accelerated filer,” “accelerated filer” and “emerging growth company” in Rule 12b-2 of the Exchange Act.</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760" w:type="dxa"/>
            <w:vAlign w:val="bottom"/>
            <w:tcBorders>
              <w:top w:val="single" w:sz="8" w:color="auto"/>
              <w:left w:val="single" w:sz="8" w:color="auto"/>
              <w:bottom w:val="single" w:sz="8" w:color="auto"/>
              <w:right w:val="single" w:sz="8" w:color="auto"/>
            </w:tcBorders>
          </w:tcPr>
          <w:p>
            <w:pPr>
              <w:ind w:left="4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640" w:type="dxa"/>
            <w:vAlign w:val="bottom"/>
            <w:tcBorders>
              <w:top w:val="single" w:sz="8" w:color="auto"/>
              <w:bottom w:val="single" w:sz="8" w:color="auto"/>
              <w:right w:val="single" w:sz="8" w:color="auto"/>
            </w:tcBorders>
          </w:tcPr>
          <w:p>
            <w:pPr>
              <w:ind w:left="5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640" w:type="dxa"/>
            <w:vAlign w:val="bottom"/>
            <w:tcBorders>
              <w:top w:val="single" w:sz="8" w:color="auto"/>
              <w:bottom w:val="single" w:sz="8" w:color="auto"/>
              <w:right w:val="single" w:sz="8" w:color="auto"/>
            </w:tcBorders>
          </w:tcPr>
          <w:p>
            <w:pPr>
              <w:ind w:left="42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200" w:type="dxa"/>
            <w:vAlign w:val="bottom"/>
            <w:tcBorders>
              <w:top w:val="single" w:sz="8" w:color="auto"/>
              <w:bottom w:val="single" w:sz="8" w:color="auto"/>
              <w:right w:val="single" w:sz="8" w:color="auto"/>
            </w:tcBorders>
          </w:tcPr>
          <w:p>
            <w:pPr>
              <w:ind w:left="4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r>
    </w:tbl>
    <w:p>
      <w:pPr>
        <w:jc w:val="both"/>
        <w:ind w:right="180"/>
        <w:spacing w:after="0" w:line="223"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ind w:firstLine="8"/>
        <w:spacing w:after="0" w:line="277" w:lineRule="auto"/>
        <w:tabs>
          <w:tab w:leader="none" w:pos="17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70"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 rm that prepared or issued its audit report. </w:t>
      </w:r>
      <w:r>
        <w:rPr>
          <w:rFonts w:ascii="MS PGothic" w:cs="MS PGothic" w:eastAsia="MS PGothic" w:hAnsi="MS PGothic"/>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2060" w:type="dxa"/>
            <w:vAlign w:val="bottom"/>
            <w:tcBorders>
              <w:top w:val="single" w:sz="8" w:color="auto"/>
              <w:left w:val="single" w:sz="8" w:color="auto"/>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 xml:space="preserve">U.S. GAAP </w:t>
            </w:r>
            <w:r>
              <w:rPr>
                <w:rFonts w:ascii="MS PGothic" w:cs="MS PGothic" w:eastAsia="MS PGothic" w:hAnsi="MS PGothic"/>
                <w:sz w:val="18"/>
                <w:szCs w:val="18"/>
                <w:color w:val="auto"/>
              </w:rPr>
              <w:t>☐</w:t>
            </w:r>
          </w:p>
        </w:tc>
        <w:tc>
          <w:tcPr>
            <w:tcW w:w="6900" w:type="dxa"/>
            <w:vAlign w:val="bottom"/>
            <w:tcBorders>
              <w:top w:val="single" w:sz="8" w:color="auto"/>
              <w:right w:val="single" w:sz="8" w:color="auto"/>
            </w:tcBorders>
          </w:tcPr>
          <w:p>
            <w:pPr>
              <w:spacing w:after="0" w:line="182" w:lineRule="exact"/>
              <w:rPr>
                <w:sz w:val="20"/>
                <w:szCs w:val="20"/>
                <w:color w:val="auto"/>
              </w:rPr>
            </w:pPr>
            <w:r>
              <w:rPr>
                <w:rFonts w:ascii="Arial" w:cs="Arial" w:eastAsia="Arial" w:hAnsi="Arial"/>
                <w:sz w:val="18"/>
                <w:szCs w:val="18"/>
                <w:color w:val="auto"/>
              </w:rPr>
              <w:t>International Financial Reporting Standards as issued</w:t>
            </w:r>
          </w:p>
        </w:tc>
        <w:tc>
          <w:tcPr>
            <w:tcW w:w="2280" w:type="dxa"/>
            <w:vAlign w:val="bottom"/>
            <w:tcBorders>
              <w:top w:val="single" w:sz="8" w:color="auto"/>
              <w:right w:val="single" w:sz="8" w:color="auto"/>
            </w:tcBorders>
          </w:tcPr>
          <w:p>
            <w:pPr>
              <w:ind w:left="800"/>
              <w:spacing w:after="0" w:line="182" w:lineRule="exact"/>
              <w:rPr>
                <w:sz w:val="20"/>
                <w:szCs w:val="20"/>
                <w:color w:val="auto"/>
              </w:rPr>
            </w:pPr>
            <w:r>
              <w:rPr>
                <w:rFonts w:ascii="Arial" w:cs="Arial" w:eastAsia="Arial" w:hAnsi="Arial"/>
                <w:sz w:val="18"/>
                <w:szCs w:val="18"/>
                <w:color w:val="auto"/>
              </w:rPr>
              <w:t xml:space="preserve">Other </w:t>
            </w:r>
            <w:r>
              <w:rPr>
                <w:rFonts w:ascii="MS PGothic" w:cs="MS PGothic" w:eastAsia="MS PGothic" w:hAnsi="MS PGothic"/>
                <w:sz w:val="18"/>
                <w:szCs w:val="18"/>
                <w:color w:val="auto"/>
              </w:rPr>
              <w:t>☐</w:t>
            </w:r>
          </w:p>
        </w:tc>
      </w:tr>
      <w:tr>
        <w:trPr>
          <w:trHeight w:val="263"/>
        </w:trPr>
        <w:tc>
          <w:tcPr>
            <w:tcW w:w="2060" w:type="dxa"/>
            <w:vAlign w:val="bottom"/>
            <w:tcBorders>
              <w:left w:val="single" w:sz="8" w:color="auto"/>
              <w:bottom w:val="single" w:sz="8" w:color="auto"/>
              <w:right w:val="single" w:sz="8" w:color="auto"/>
            </w:tcBorders>
          </w:tcPr>
          <w:p>
            <w:pPr>
              <w:spacing w:after="0"/>
              <w:rPr>
                <w:sz w:val="22"/>
                <w:szCs w:val="22"/>
                <w:color w:val="auto"/>
              </w:rPr>
            </w:pPr>
          </w:p>
        </w:tc>
        <w:tc>
          <w:tcPr>
            <w:tcW w:w="690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by the International Accounting Standards Board </w:t>
            </w:r>
            <w:r>
              <w:rPr>
                <w:rFonts w:ascii="MS PGothic" w:cs="MS PGothic" w:eastAsia="MS PGothic" w:hAnsi="MS PGothic"/>
                <w:sz w:val="18"/>
                <w:szCs w:val="18"/>
                <w:color w:val="auto"/>
              </w:rPr>
              <w:t>☒</w:t>
            </w:r>
          </w:p>
        </w:tc>
        <w:tc>
          <w:tcPr>
            <w:tcW w:w="2280" w:type="dxa"/>
            <w:vAlign w:val="bottom"/>
            <w:tcBorders>
              <w:bottom w:val="single" w:sz="8" w:color="auto"/>
              <w:right w:val="single" w:sz="8" w:color="auto"/>
            </w:tcBorders>
          </w:tcPr>
          <w:p>
            <w:pPr>
              <w:spacing w:after="0"/>
              <w:rPr>
                <w:sz w:val="22"/>
                <w:szCs w:val="22"/>
                <w:color w:val="auto"/>
              </w:rPr>
            </w:pPr>
          </w:p>
        </w:tc>
      </w:tr>
    </w:tbl>
    <w:p>
      <w:pPr>
        <w:spacing w:after="0" w:line="202"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 </w:t>
      </w:r>
      <w:r>
        <w:rPr>
          <w:rFonts w:ascii="MS PGothic" w:cs="MS PGothic" w:eastAsia="MS PGothic" w:hAnsi="MS PGothic"/>
          <w:sz w:val="18"/>
          <w:szCs w:val="18"/>
          <w:color w:val="auto"/>
        </w:rPr>
        <w:t>☐</w:t>
      </w:r>
    </w:p>
    <w:p>
      <w:pPr>
        <w:spacing w:after="0" w:line="150" w:lineRule="exact"/>
        <w:rPr>
          <w:sz w:val="20"/>
          <w:szCs w:val="20"/>
          <w:color w:val="auto"/>
        </w:rPr>
      </w:pPr>
    </w:p>
    <w:p>
      <w:pPr>
        <w:jc w:val="center"/>
        <w:ind w:right="40"/>
        <w:spacing w:after="0" w:line="184" w:lineRule="exact"/>
        <w:rPr>
          <w:sz w:val="20"/>
          <w:szCs w:val="20"/>
          <w:color w:val="auto"/>
        </w:rPr>
      </w:pPr>
      <w:r>
        <w:rPr>
          <w:rFonts w:ascii="Arial" w:cs="Arial" w:eastAsia="Arial" w:hAnsi="Arial"/>
          <w:sz w:val="16"/>
          <w:szCs w:val="16"/>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6"/>
        </w:trPr>
        <w:tc>
          <w:tcPr>
            <w:tcW w:w="40" w:type="dxa"/>
            <w:vAlign w:val="bottom"/>
            <w:tcBorders>
              <w:top w:val="single" w:sz="8" w:color="auto"/>
              <w:left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0" w:type="dxa"/>
            <w:vAlign w:val="bottom"/>
            <w:tcBorders>
              <w:top w:val="single" w:sz="8" w:color="auto"/>
              <w:right w:val="single" w:sz="8" w:color="auto"/>
            </w:tcBorders>
          </w:tcPr>
          <w:p>
            <w:pPr>
              <w:spacing w:after="0"/>
              <w:rPr>
                <w:sz w:val="22"/>
                <w:szCs w:val="22"/>
                <w:color w:val="auto"/>
              </w:rPr>
            </w:pPr>
          </w:p>
        </w:tc>
        <w:tc>
          <w:tcPr>
            <w:tcW w:w="440" w:type="dxa"/>
            <w:vAlign w:val="bottom"/>
            <w:tcBorders>
              <w:top w:val="single" w:sz="8" w:color="auto"/>
              <w:right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5480" w:type="dxa"/>
            <w:vAlign w:val="bottom"/>
            <w:tcBorders>
              <w:top w:val="single" w:sz="8" w:color="auto"/>
              <w:right w:val="single" w:sz="8" w:color="auto"/>
            </w:tcBorders>
            <w:gridSpan w:val="5"/>
          </w:tcPr>
          <w:p>
            <w:pPr>
              <w:jc w:val="center"/>
              <w:ind w:right="2960"/>
              <w:spacing w:after="0"/>
              <w:rPr>
                <w:sz w:val="20"/>
                <w:szCs w:val="20"/>
                <w:color w:val="auto"/>
              </w:rPr>
            </w:pPr>
            <w:r>
              <w:rPr>
                <w:rFonts w:ascii="Arial" w:cs="Arial" w:eastAsia="Arial" w:hAnsi="Arial"/>
                <w:sz w:val="18"/>
                <w:szCs w:val="18"/>
                <w:b w:val="1"/>
                <w:bCs w:val="1"/>
                <w:color w:val="auto"/>
                <w:w w:val="98"/>
              </w:rPr>
              <w:t>TABLE OF CONTENTS</w:t>
            </w:r>
          </w:p>
        </w:tc>
        <w:tc>
          <w:tcPr>
            <w:tcW w:w="140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63"/>
        </w:trPr>
        <w:tc>
          <w:tcPr>
            <w:tcW w:w="40" w:type="dxa"/>
            <w:vAlign w:val="bottom"/>
            <w:tcBorders>
              <w:left w:val="single" w:sz="8" w:color="auto"/>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right w:val="single" w:sz="8" w:color="auto"/>
            </w:tcBorders>
            <w:shd w:val="clear" w:color="auto" w:fill="CCEEFF"/>
          </w:tcPr>
          <w:p>
            <w:pPr>
              <w:spacing w:after="0"/>
              <w:rPr>
                <w:sz w:val="22"/>
                <w:szCs w:val="22"/>
                <w:color w:val="auto"/>
              </w:rPr>
            </w:pPr>
          </w:p>
        </w:tc>
        <w:tc>
          <w:tcPr>
            <w:tcW w:w="440" w:type="dxa"/>
            <w:vAlign w:val="bottom"/>
            <w:tcBorders>
              <w:bottom w:val="single" w:sz="8" w:color="auto"/>
              <w:right w:val="single" w:sz="8" w:color="auto"/>
            </w:tcBorders>
            <w:shd w:val="clear" w:color="auto" w:fill="CCEEFF"/>
          </w:tcPr>
          <w:p>
            <w:pPr>
              <w:spacing w:after="0"/>
              <w:rPr>
                <w:sz w:val="22"/>
                <w:szCs w:val="22"/>
                <w:color w:val="auto"/>
              </w:rPr>
            </w:pPr>
          </w:p>
        </w:tc>
        <w:tc>
          <w:tcPr>
            <w:tcW w:w="8380" w:type="dxa"/>
            <w:vAlign w:val="bottom"/>
            <w:tcBorders>
              <w:bottom w:val="single" w:sz="8" w:color="auto"/>
              <w:right w:val="single" w:sz="8" w:color="auto"/>
            </w:tcBorders>
            <w:gridSpan w:val="12"/>
            <w:shd w:val="clear" w:color="auto" w:fill="CCEEFF"/>
          </w:tcPr>
          <w:p>
            <w:pPr>
              <w:ind w:lef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Introduction</w:t>
              </w:r>
            </w:hyperlink>
          </w:p>
        </w:tc>
        <w:tc>
          <w:tcPr>
            <w:tcW w:w="140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5</w:t>
            </w:r>
          </w:p>
        </w:tc>
      </w:tr>
      <w:tr>
        <w:trPr>
          <w:trHeight w:val="263"/>
        </w:trPr>
        <w:tc>
          <w:tcPr>
            <w:tcW w:w="40" w:type="dxa"/>
            <w:vAlign w:val="bottom"/>
            <w:tcBorders>
              <w:left w:val="single" w:sz="8" w:color="auto"/>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0" w:type="dxa"/>
            <w:vAlign w:val="bottom"/>
            <w:tcBorders>
              <w:bottom w:val="single" w:sz="8" w:color="auto"/>
              <w:right w:val="single" w:sz="8" w:color="auto"/>
            </w:tcBorders>
          </w:tcPr>
          <w:p>
            <w:pPr>
              <w:spacing w:after="0"/>
              <w:rPr>
                <w:sz w:val="22"/>
                <w:szCs w:val="22"/>
                <w:color w:val="auto"/>
              </w:rPr>
            </w:pPr>
          </w:p>
        </w:tc>
        <w:tc>
          <w:tcPr>
            <w:tcW w:w="440" w:type="dxa"/>
            <w:vAlign w:val="bottom"/>
            <w:tcBorders>
              <w:bottom w:val="single" w:sz="8" w:color="auto"/>
              <w:right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360" w:type="dxa"/>
            <w:vAlign w:val="bottom"/>
            <w:tcBorders>
              <w:bottom w:val="single" w:sz="8" w:color="auto"/>
              <w:right w:val="single" w:sz="8" w:color="auto"/>
            </w:tcBorders>
          </w:tcPr>
          <w:p>
            <w:pPr>
              <w:spacing w:after="0"/>
              <w:rPr>
                <w:sz w:val="22"/>
                <w:szCs w:val="22"/>
                <w:color w:val="auto"/>
              </w:rPr>
            </w:pPr>
          </w:p>
        </w:tc>
        <w:tc>
          <w:tcPr>
            <w:tcW w:w="1400" w:type="dxa"/>
            <w:vAlign w:val="bottom"/>
            <w:tcBorders>
              <w:bottom w:val="single" w:sz="8" w:color="auto"/>
              <w:right w:val="single" w:sz="8" w:color="auto"/>
            </w:tcBorders>
          </w:tcPr>
          <w:p>
            <w:pPr>
              <w:spacing w:after="0"/>
              <w:rPr>
                <w:sz w:val="22"/>
                <w:szCs w:val="22"/>
                <w:color w:val="auto"/>
              </w:rPr>
            </w:pPr>
          </w:p>
        </w:tc>
      </w:tr>
      <w:tr>
        <w:trPr>
          <w:trHeight w:val="268"/>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right w:val="single" w:sz="8" w:color="auto"/>
            </w:tcBorders>
            <w:shd w:val="clear" w:color="auto" w:fill="CCEEFF"/>
          </w:tcPr>
          <w:p>
            <w:pPr>
              <w:spacing w:after="0"/>
              <w:rPr>
                <w:sz w:val="22"/>
                <w:szCs w:val="22"/>
                <w:color w:val="auto"/>
              </w:rPr>
            </w:pPr>
          </w:p>
        </w:tc>
        <w:tc>
          <w:tcPr>
            <w:tcW w:w="440" w:type="dxa"/>
            <w:vAlign w:val="bottom"/>
            <w:tcBorders>
              <w:bottom w:val="single" w:sz="8" w:color="CCEEFF"/>
              <w:right w:val="single" w:sz="8" w:color="auto"/>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4640" w:type="dxa"/>
            <w:vAlign w:val="bottom"/>
            <w:tcBorders>
              <w:bottom w:val="single" w:sz="8" w:color="CCEEFF"/>
              <w:right w:val="single" w:sz="8" w:color="auto"/>
            </w:tcBorders>
            <w:gridSpan w:val="2"/>
            <w:shd w:val="clear" w:color="auto" w:fill="CCEEFF"/>
          </w:tcPr>
          <w:p>
            <w:pPr>
              <w:jc w:val="center"/>
              <w:ind w:right="3800"/>
              <w:spacing w:after="0"/>
              <w:rPr>
                <w:sz w:val="20"/>
                <w:szCs w:val="20"/>
                <w:color w:val="auto"/>
              </w:rPr>
            </w:pPr>
            <w:r>
              <w:rPr>
                <w:rFonts w:ascii="Arial" w:cs="Arial" w:eastAsia="Arial" w:hAnsi="Arial"/>
                <w:sz w:val="18"/>
                <w:szCs w:val="18"/>
                <w:b w:val="1"/>
                <w:bCs w:val="1"/>
                <w:color w:val="auto"/>
              </w:rPr>
              <w:t>PART I</w:t>
            </w:r>
          </w:p>
        </w:tc>
        <w:tc>
          <w:tcPr>
            <w:tcW w:w="140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63"/>
        </w:trPr>
        <w:tc>
          <w:tcPr>
            <w:tcW w:w="40" w:type="dxa"/>
            <w:vAlign w:val="bottom"/>
            <w:tcBorders>
              <w:top w:val="single" w:sz="8" w:color="auto"/>
              <w:left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right w:val="single" w:sz="8" w:color="auto"/>
            </w:tcBorders>
          </w:tcPr>
          <w:p>
            <w:pPr>
              <w:spacing w:after="0"/>
              <w:rPr>
                <w:sz w:val="22"/>
                <w:szCs w:val="22"/>
                <w:color w:val="auto"/>
              </w:rPr>
            </w:pPr>
          </w:p>
        </w:tc>
        <w:tc>
          <w:tcPr>
            <w:tcW w:w="440" w:type="dxa"/>
            <w:vAlign w:val="bottom"/>
            <w:tcBorders>
              <w:top w:val="single" w:sz="8" w:color="auto"/>
              <w:bottom w:val="single" w:sz="8" w:color="auto"/>
              <w:right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4360" w:type="dxa"/>
            <w:vAlign w:val="bottom"/>
            <w:tcBorders>
              <w:top w:val="single" w:sz="8" w:color="auto"/>
              <w:bottom w:val="single" w:sz="8" w:color="auto"/>
              <w:right w:val="single" w:sz="8" w:color="auto"/>
            </w:tcBorders>
          </w:tcPr>
          <w:p>
            <w:pPr>
              <w:spacing w:after="0"/>
              <w:rPr>
                <w:sz w:val="22"/>
                <w:szCs w:val="22"/>
                <w:color w:val="auto"/>
              </w:rPr>
            </w:pPr>
          </w:p>
        </w:tc>
        <w:tc>
          <w:tcPr>
            <w:tcW w:w="1400" w:type="dxa"/>
            <w:vAlign w:val="bottom"/>
            <w:tcBorders>
              <w:top w:val="single" w:sz="8" w:color="auto"/>
              <w:bottom w:val="single" w:sz="8" w:color="auto"/>
              <w:right w:val="single" w:sz="8" w:color="auto"/>
            </w:tcBorders>
          </w:tcPr>
          <w:p>
            <w:pPr>
              <w:spacing w:after="0"/>
              <w:rPr>
                <w:sz w:val="22"/>
                <w:szCs w:val="22"/>
                <w:color w:val="auto"/>
              </w:rPr>
            </w:pPr>
          </w:p>
        </w:tc>
      </w:tr>
      <w:tr>
        <w:trPr>
          <w:trHeight w:val="264"/>
        </w:trPr>
        <w:tc>
          <w:tcPr>
            <w:tcW w:w="1040" w:type="dxa"/>
            <w:vAlign w:val="bottom"/>
            <w:tcBorders>
              <w:left w:val="single" w:sz="8" w:color="auto"/>
              <w:bottom w:val="single" w:sz="8" w:color="auto"/>
              <w:right w:val="single" w:sz="8" w:color="auto"/>
            </w:tcBorders>
            <w:gridSpan w:val="4"/>
            <w:shd w:val="clear" w:color="auto" w:fill="CCEEFF"/>
          </w:tcPr>
          <w:p>
            <w:pPr>
              <w:ind w:left="4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Item 1.</w:t>
              </w:r>
            </w:hyperlink>
          </w:p>
        </w:tc>
        <w:tc>
          <w:tcPr>
            <w:tcW w:w="440" w:type="dxa"/>
            <w:vAlign w:val="bottom"/>
            <w:tcBorders>
              <w:bottom w:val="single" w:sz="8" w:color="auto"/>
              <w:right w:val="single" w:sz="8" w:color="auto"/>
            </w:tcBorders>
            <w:shd w:val="clear" w:color="auto" w:fill="CCEEFF"/>
          </w:tcPr>
          <w:p>
            <w:pPr>
              <w:spacing w:after="0"/>
              <w:rPr>
                <w:sz w:val="22"/>
                <w:szCs w:val="22"/>
                <w:color w:val="auto"/>
              </w:rPr>
            </w:pPr>
          </w:p>
        </w:tc>
        <w:tc>
          <w:tcPr>
            <w:tcW w:w="8380" w:type="dxa"/>
            <w:vAlign w:val="bottom"/>
            <w:tcBorders>
              <w:bottom w:val="single" w:sz="8" w:color="auto"/>
              <w:right w:val="single" w:sz="8" w:color="auto"/>
            </w:tcBorders>
            <w:gridSpan w:val="12"/>
            <w:shd w:val="clear" w:color="auto" w:fill="CCEEFF"/>
          </w:tcPr>
          <w:p>
            <w:pPr>
              <w:ind w:left="2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Identity of Directors, Senior Management and Advisers</w:t>
              </w:r>
            </w:hyperlink>
          </w:p>
        </w:tc>
        <w:tc>
          <w:tcPr>
            <w:tcW w:w="140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9</w:t>
            </w:r>
          </w:p>
        </w:tc>
      </w:tr>
      <w:tr>
        <w:trPr>
          <w:trHeight w:val="196"/>
        </w:trPr>
        <w:tc>
          <w:tcPr>
            <w:tcW w:w="1040" w:type="dxa"/>
            <w:vAlign w:val="bottom"/>
            <w:tcBorders>
              <w:left w:val="single" w:sz="8" w:color="auto"/>
              <w:right w:val="single" w:sz="8" w:color="auto"/>
            </w:tcBorders>
            <w:gridSpan w:val="4"/>
          </w:tcPr>
          <w:p>
            <w:pPr>
              <w:ind w:left="4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Item 2.</w:t>
              </w:r>
            </w:hyperlink>
          </w:p>
        </w:tc>
        <w:tc>
          <w:tcPr>
            <w:tcW w:w="440" w:type="dxa"/>
            <w:vAlign w:val="bottom"/>
            <w:tcBorders>
              <w:right w:val="single" w:sz="8" w:color="auto"/>
            </w:tcBorders>
          </w:tcPr>
          <w:p>
            <w:pPr>
              <w:spacing w:after="0"/>
              <w:rPr>
                <w:sz w:val="17"/>
                <w:szCs w:val="17"/>
                <w:color w:val="auto"/>
              </w:rPr>
            </w:pPr>
          </w:p>
        </w:tc>
        <w:tc>
          <w:tcPr>
            <w:tcW w:w="8380" w:type="dxa"/>
            <w:vAlign w:val="bottom"/>
            <w:tcBorders>
              <w:right w:val="single" w:sz="8" w:color="auto"/>
            </w:tcBorders>
            <w:gridSpan w:val="12"/>
          </w:tcPr>
          <w:p>
            <w:pPr>
              <w:ind w:left="2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Offer Statistics and Expected Timetable</w:t>
              </w:r>
            </w:hyperlink>
          </w:p>
        </w:tc>
        <w:tc>
          <w:tcPr>
            <w:tcW w:w="140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79"/>
              </w:rPr>
              <w:t>9</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520" w:type="dxa"/>
            <w:vAlign w:val="bottom"/>
            <w:tcBorders>
              <w:top w:val="single" w:sz="8" w:color="0000EE"/>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0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360" w:type="dxa"/>
            <w:vAlign w:val="bottom"/>
            <w:tcBorders>
              <w:top w:val="single" w:sz="8" w:color="0000EE"/>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420" w:type="dxa"/>
            <w:vAlign w:val="bottom"/>
            <w:tcBorders>
              <w:top w:val="single" w:sz="8" w:color="0000EE"/>
              <w:bottom w:val="single" w:sz="8" w:color="auto"/>
            </w:tcBorders>
          </w:tcPr>
          <w:p>
            <w:pPr>
              <w:spacing w:after="0"/>
              <w:rPr>
                <w:sz w:val="4"/>
                <w:szCs w:val="4"/>
                <w:color w:val="auto"/>
              </w:rPr>
            </w:pPr>
          </w:p>
        </w:tc>
        <w:tc>
          <w:tcPr>
            <w:tcW w:w="780" w:type="dxa"/>
            <w:vAlign w:val="bottom"/>
            <w:tcBorders>
              <w:top w:val="single" w:sz="8" w:color="0000EE"/>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36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63"/>
        </w:trPr>
        <w:tc>
          <w:tcPr>
            <w:tcW w:w="1040" w:type="dxa"/>
            <w:vAlign w:val="bottom"/>
            <w:tcBorders>
              <w:left w:val="single" w:sz="8" w:color="auto"/>
              <w:bottom w:val="single" w:sz="8" w:color="auto"/>
              <w:right w:val="single" w:sz="8" w:color="auto"/>
            </w:tcBorders>
            <w:gridSpan w:val="4"/>
            <w:shd w:val="clear" w:color="auto" w:fill="CCEEFF"/>
          </w:tcPr>
          <w:p>
            <w:pPr>
              <w:ind w:left="4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Item 3.</w:t>
              </w:r>
            </w:hyperlink>
          </w:p>
        </w:tc>
        <w:tc>
          <w:tcPr>
            <w:tcW w:w="440" w:type="dxa"/>
            <w:vAlign w:val="bottom"/>
            <w:tcBorders>
              <w:bottom w:val="single" w:sz="8" w:color="auto"/>
              <w:right w:val="single" w:sz="8" w:color="auto"/>
            </w:tcBorders>
            <w:shd w:val="clear" w:color="auto" w:fill="CCEEFF"/>
          </w:tcPr>
          <w:p>
            <w:pPr>
              <w:spacing w:after="0"/>
              <w:rPr>
                <w:sz w:val="22"/>
                <w:szCs w:val="22"/>
                <w:color w:val="auto"/>
              </w:rPr>
            </w:pPr>
          </w:p>
        </w:tc>
        <w:tc>
          <w:tcPr>
            <w:tcW w:w="8380" w:type="dxa"/>
            <w:vAlign w:val="bottom"/>
            <w:tcBorders>
              <w:bottom w:val="single" w:sz="8" w:color="auto"/>
              <w:right w:val="single" w:sz="8" w:color="auto"/>
            </w:tcBorders>
            <w:gridSpan w:val="12"/>
            <w:shd w:val="clear" w:color="auto" w:fill="CCEEFF"/>
          </w:tcPr>
          <w:p>
            <w:pPr>
              <w:ind w:left="2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Key Information</w:t>
              </w:r>
            </w:hyperlink>
          </w:p>
        </w:tc>
        <w:tc>
          <w:tcPr>
            <w:tcW w:w="140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9</w:t>
            </w:r>
          </w:p>
        </w:tc>
      </w:tr>
      <w:tr>
        <w:trPr>
          <w:trHeight w:val="237"/>
        </w:trPr>
        <w:tc>
          <w:tcPr>
            <w:tcW w:w="4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3.A.</w:t>
            </w:r>
          </w:p>
        </w:tc>
        <w:tc>
          <w:tcPr>
            <w:tcW w:w="8380" w:type="dxa"/>
            <w:vAlign w:val="bottom"/>
            <w:tcBorders>
              <w:right w:val="single" w:sz="8" w:color="auto"/>
            </w:tcBorders>
            <w:gridSpan w:val="12"/>
          </w:tcPr>
          <w:p>
            <w:pPr>
              <w:ind w:left="20"/>
              <w:spacing w:after="0"/>
              <w:rPr>
                <w:sz w:val="20"/>
                <w:szCs w:val="20"/>
                <w:color w:val="auto"/>
              </w:rPr>
            </w:pPr>
            <w:r>
              <w:rPr>
                <w:rFonts w:ascii="Arial" w:cs="Arial" w:eastAsia="Arial" w:hAnsi="Arial"/>
                <w:sz w:val="18"/>
                <w:szCs w:val="18"/>
                <w:color w:val="auto"/>
              </w:rPr>
              <w:t>[Reserved]</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68"/>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right w:val="single" w:sz="8" w:color="auto"/>
            </w:tcBorders>
            <w:shd w:val="clear" w:color="auto" w:fill="CCEEFF"/>
          </w:tcPr>
          <w:p>
            <w:pPr>
              <w:spacing w:after="0"/>
              <w:rPr>
                <w:sz w:val="22"/>
                <w:szCs w:val="22"/>
                <w:color w:val="auto"/>
              </w:rPr>
            </w:pPr>
          </w:p>
        </w:tc>
        <w:tc>
          <w:tcPr>
            <w:tcW w:w="4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3.B.</w:t>
            </w:r>
          </w:p>
        </w:tc>
        <w:tc>
          <w:tcPr>
            <w:tcW w:w="8380" w:type="dxa"/>
            <w:vAlign w:val="bottom"/>
            <w:tcBorders>
              <w:bottom w:val="single" w:sz="8" w:color="CCEEFF"/>
              <w:right w:val="single" w:sz="8" w:color="auto"/>
            </w:tcBorders>
            <w:gridSpan w:val="12"/>
            <w:shd w:val="clear" w:color="auto" w:fill="CCEEFF"/>
          </w:tcPr>
          <w:p>
            <w:pPr>
              <w:ind w:left="20"/>
              <w:spacing w:after="0"/>
              <w:rPr>
                <w:sz w:val="20"/>
                <w:szCs w:val="20"/>
                <w:color w:val="auto"/>
              </w:rPr>
            </w:pPr>
            <w:r>
              <w:rPr>
                <w:rFonts w:ascii="Arial" w:cs="Arial" w:eastAsia="Arial" w:hAnsi="Arial"/>
                <w:sz w:val="18"/>
                <w:szCs w:val="18"/>
                <w:color w:val="auto"/>
              </w:rPr>
              <w:t>Capitalization and Indebtedness</w:t>
            </w:r>
          </w:p>
        </w:tc>
        <w:tc>
          <w:tcPr>
            <w:tcW w:w="14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9</w:t>
            </w:r>
          </w:p>
        </w:tc>
      </w:tr>
      <w:tr>
        <w:trPr>
          <w:trHeight w:val="237"/>
        </w:trPr>
        <w:tc>
          <w:tcPr>
            <w:tcW w:w="40" w:type="dxa"/>
            <w:vAlign w:val="bottom"/>
            <w:tcBorders>
              <w:top w:val="single" w:sz="8" w:color="auto"/>
              <w:left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right w:val="single" w:sz="8" w:color="auto"/>
            </w:tcBorders>
          </w:tcPr>
          <w:p>
            <w:pPr>
              <w:spacing w:after="0"/>
              <w:rPr>
                <w:sz w:val="20"/>
                <w:szCs w:val="20"/>
                <w:color w:val="auto"/>
              </w:rPr>
            </w:pPr>
          </w:p>
        </w:tc>
        <w:tc>
          <w:tcPr>
            <w:tcW w:w="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3.C.</w:t>
            </w:r>
          </w:p>
        </w:tc>
        <w:tc>
          <w:tcPr>
            <w:tcW w:w="8380" w:type="dxa"/>
            <w:vAlign w:val="bottom"/>
            <w:tcBorders>
              <w:top w:val="single" w:sz="8" w:color="auto"/>
              <w:right w:val="single" w:sz="8" w:color="auto"/>
            </w:tcBorders>
            <w:gridSpan w:val="12"/>
          </w:tcPr>
          <w:p>
            <w:pPr>
              <w:ind w:left="20"/>
              <w:spacing w:after="0"/>
              <w:rPr>
                <w:sz w:val="20"/>
                <w:szCs w:val="20"/>
                <w:color w:val="auto"/>
              </w:rPr>
            </w:pPr>
            <w:r>
              <w:rPr>
                <w:rFonts w:ascii="Arial" w:cs="Arial" w:eastAsia="Arial" w:hAnsi="Arial"/>
                <w:sz w:val="18"/>
                <w:szCs w:val="18"/>
                <w:color w:val="auto"/>
              </w:rPr>
              <w:t>Reasons for the Offer and Use of Proceeds</w:t>
            </w:r>
          </w:p>
        </w:tc>
        <w:tc>
          <w:tcPr>
            <w:tcW w:w="1400" w:type="dxa"/>
            <w:vAlign w:val="bottom"/>
            <w:tcBorders>
              <w:top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10</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69"/>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right w:val="single" w:sz="8" w:color="auto"/>
            </w:tcBorders>
            <w:shd w:val="clear" w:color="auto" w:fill="CCEEFF"/>
          </w:tcPr>
          <w:p>
            <w:pPr>
              <w:spacing w:after="0"/>
              <w:rPr>
                <w:sz w:val="22"/>
                <w:szCs w:val="22"/>
                <w:color w:val="auto"/>
              </w:rPr>
            </w:pPr>
          </w:p>
        </w:tc>
        <w:tc>
          <w:tcPr>
            <w:tcW w:w="4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3.D.</w:t>
            </w:r>
          </w:p>
        </w:tc>
        <w:tc>
          <w:tcPr>
            <w:tcW w:w="8380" w:type="dxa"/>
            <w:vAlign w:val="bottom"/>
            <w:tcBorders>
              <w:bottom w:val="single" w:sz="8" w:color="CCEEFF"/>
              <w:right w:val="single" w:sz="8" w:color="auto"/>
            </w:tcBorders>
            <w:gridSpan w:val="12"/>
            <w:shd w:val="clear" w:color="auto" w:fill="CCEEFF"/>
          </w:tcPr>
          <w:p>
            <w:pPr>
              <w:ind w:left="20"/>
              <w:spacing w:after="0"/>
              <w:rPr>
                <w:sz w:val="20"/>
                <w:szCs w:val="20"/>
                <w:color w:val="auto"/>
              </w:rPr>
            </w:pPr>
            <w:r>
              <w:rPr>
                <w:rFonts w:ascii="Arial" w:cs="Arial" w:eastAsia="Arial" w:hAnsi="Arial"/>
                <w:sz w:val="18"/>
                <w:szCs w:val="18"/>
                <w:color w:val="auto"/>
              </w:rPr>
              <w:t>Risk Factors</w:t>
            </w:r>
          </w:p>
        </w:tc>
        <w:tc>
          <w:tcPr>
            <w:tcW w:w="1400" w:type="dxa"/>
            <w:vAlign w:val="bottom"/>
            <w:tcBorders>
              <w:bottom w:val="single" w:sz="8" w:color="CCEEFF"/>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10</w:t>
            </w:r>
          </w:p>
        </w:tc>
      </w:tr>
      <w:tr>
        <w:trPr>
          <w:trHeight w:val="196"/>
        </w:trPr>
        <w:tc>
          <w:tcPr>
            <w:tcW w:w="1040" w:type="dxa"/>
            <w:vAlign w:val="bottom"/>
            <w:tcBorders>
              <w:top w:val="single" w:sz="8" w:color="auto"/>
              <w:left w:val="single" w:sz="8" w:color="auto"/>
              <w:right w:val="single" w:sz="8" w:color="auto"/>
            </w:tcBorders>
            <w:gridSpan w:val="4"/>
          </w:tcPr>
          <w:p>
            <w:pPr>
              <w:ind w:left="40"/>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4.</w:t>
              </w:r>
            </w:hyperlink>
          </w:p>
        </w:tc>
        <w:tc>
          <w:tcPr>
            <w:tcW w:w="440" w:type="dxa"/>
            <w:vAlign w:val="bottom"/>
            <w:tcBorders>
              <w:top w:val="single" w:sz="8" w:color="auto"/>
              <w:right w:val="single" w:sz="8" w:color="auto"/>
            </w:tcBorders>
          </w:tcPr>
          <w:p>
            <w:pPr>
              <w:spacing w:after="0"/>
              <w:rPr>
                <w:sz w:val="17"/>
                <w:szCs w:val="17"/>
                <w:color w:val="auto"/>
              </w:rPr>
            </w:pPr>
          </w:p>
        </w:tc>
        <w:tc>
          <w:tcPr>
            <w:tcW w:w="8380" w:type="dxa"/>
            <w:vAlign w:val="bottom"/>
            <w:tcBorders>
              <w:top w:val="single" w:sz="8" w:color="auto"/>
              <w:right w:val="single" w:sz="8" w:color="auto"/>
            </w:tcBorders>
            <w:gridSpan w:val="12"/>
          </w:tcPr>
          <w:p>
            <w:pPr>
              <w:ind w:left="20"/>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Information on the Company</w:t>
              </w:r>
            </w:hyperlink>
          </w:p>
        </w:tc>
        <w:tc>
          <w:tcPr>
            <w:tcW w:w="1400" w:type="dxa"/>
            <w:vAlign w:val="bottom"/>
            <w:tcBorders>
              <w:top w:val="single" w:sz="8" w:color="auto"/>
              <w:right w:val="single" w:sz="8" w:color="auto"/>
            </w:tcBorders>
          </w:tcPr>
          <w:p>
            <w:pPr>
              <w:jc w:val="center"/>
              <w:ind w:right="10"/>
              <w:spacing w:after="0" w:line="196" w:lineRule="exact"/>
              <w:rPr>
                <w:sz w:val="20"/>
                <w:szCs w:val="20"/>
                <w:color w:val="auto"/>
              </w:rPr>
            </w:pPr>
            <w:r>
              <w:rPr>
                <w:rFonts w:ascii="Arial" w:cs="Arial" w:eastAsia="Arial" w:hAnsi="Arial"/>
                <w:sz w:val="18"/>
                <w:szCs w:val="18"/>
                <w:color w:val="auto"/>
                <w:w w:val="89"/>
              </w:rPr>
              <w:t>40</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520" w:type="dxa"/>
            <w:vAlign w:val="bottom"/>
            <w:tcBorders>
              <w:top w:val="single" w:sz="8" w:color="0000EE"/>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0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360" w:type="dxa"/>
            <w:vAlign w:val="bottom"/>
            <w:tcBorders>
              <w:top w:val="single" w:sz="8" w:color="0000EE"/>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420" w:type="dxa"/>
            <w:vAlign w:val="bottom"/>
            <w:tcBorders>
              <w:top w:val="single" w:sz="8" w:color="0000EE"/>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36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68"/>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right w:val="single" w:sz="8" w:color="auto"/>
            </w:tcBorders>
            <w:shd w:val="clear" w:color="auto" w:fill="CCEEFF"/>
          </w:tcPr>
          <w:p>
            <w:pPr>
              <w:spacing w:after="0"/>
              <w:rPr>
                <w:sz w:val="22"/>
                <w:szCs w:val="22"/>
                <w:color w:val="auto"/>
              </w:rPr>
            </w:pPr>
          </w:p>
        </w:tc>
        <w:tc>
          <w:tcPr>
            <w:tcW w:w="4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4.A.</w:t>
            </w:r>
          </w:p>
        </w:tc>
        <w:tc>
          <w:tcPr>
            <w:tcW w:w="8380" w:type="dxa"/>
            <w:vAlign w:val="bottom"/>
            <w:tcBorders>
              <w:bottom w:val="single" w:sz="8" w:color="CCEEFF"/>
              <w:right w:val="single" w:sz="8" w:color="auto"/>
            </w:tcBorders>
            <w:gridSpan w:val="12"/>
            <w:shd w:val="clear" w:color="auto" w:fill="CCEEFF"/>
          </w:tcPr>
          <w:p>
            <w:pPr>
              <w:ind w:left="20"/>
              <w:spacing w:after="0"/>
              <w:rPr>
                <w:sz w:val="20"/>
                <w:szCs w:val="20"/>
                <w:color w:val="auto"/>
              </w:rPr>
            </w:pPr>
            <w:r>
              <w:rPr>
                <w:rFonts w:ascii="Arial" w:cs="Arial" w:eastAsia="Arial" w:hAnsi="Arial"/>
                <w:sz w:val="18"/>
                <w:szCs w:val="18"/>
                <w:color w:val="auto"/>
              </w:rPr>
              <w:t>History and Development of the Company</w:t>
            </w:r>
          </w:p>
        </w:tc>
        <w:tc>
          <w:tcPr>
            <w:tcW w:w="1400" w:type="dxa"/>
            <w:vAlign w:val="bottom"/>
            <w:tcBorders>
              <w:bottom w:val="single" w:sz="8" w:color="CCEEFF"/>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40</w:t>
            </w:r>
          </w:p>
        </w:tc>
      </w:tr>
      <w:tr>
        <w:trPr>
          <w:trHeight w:val="237"/>
        </w:trPr>
        <w:tc>
          <w:tcPr>
            <w:tcW w:w="40" w:type="dxa"/>
            <w:vAlign w:val="bottom"/>
            <w:tcBorders>
              <w:top w:val="single" w:sz="8" w:color="auto"/>
              <w:left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right w:val="single" w:sz="8" w:color="auto"/>
            </w:tcBorders>
          </w:tcPr>
          <w:p>
            <w:pPr>
              <w:spacing w:after="0"/>
              <w:rPr>
                <w:sz w:val="20"/>
                <w:szCs w:val="20"/>
                <w:color w:val="auto"/>
              </w:rPr>
            </w:pPr>
          </w:p>
        </w:tc>
        <w:tc>
          <w:tcPr>
            <w:tcW w:w="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4.B.</w:t>
            </w:r>
          </w:p>
        </w:tc>
        <w:tc>
          <w:tcPr>
            <w:tcW w:w="8380" w:type="dxa"/>
            <w:vAlign w:val="bottom"/>
            <w:tcBorders>
              <w:top w:val="single" w:sz="8" w:color="auto"/>
              <w:right w:val="single" w:sz="8" w:color="auto"/>
            </w:tcBorders>
            <w:gridSpan w:val="12"/>
          </w:tcPr>
          <w:p>
            <w:pPr>
              <w:ind w:left="20"/>
              <w:spacing w:after="0"/>
              <w:rPr>
                <w:sz w:val="20"/>
                <w:szCs w:val="20"/>
                <w:color w:val="auto"/>
              </w:rPr>
            </w:pPr>
            <w:r>
              <w:rPr>
                <w:rFonts w:ascii="Arial" w:cs="Arial" w:eastAsia="Arial" w:hAnsi="Arial"/>
                <w:sz w:val="18"/>
                <w:szCs w:val="18"/>
                <w:color w:val="auto"/>
              </w:rPr>
              <w:t>Business Overview</w:t>
            </w:r>
          </w:p>
        </w:tc>
        <w:tc>
          <w:tcPr>
            <w:tcW w:w="1400" w:type="dxa"/>
            <w:vAlign w:val="bottom"/>
            <w:tcBorders>
              <w:top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41</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68"/>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right w:val="single" w:sz="8" w:color="auto"/>
            </w:tcBorders>
            <w:shd w:val="clear" w:color="auto" w:fill="CCEEFF"/>
          </w:tcPr>
          <w:p>
            <w:pPr>
              <w:spacing w:after="0"/>
              <w:rPr>
                <w:sz w:val="22"/>
                <w:szCs w:val="22"/>
                <w:color w:val="auto"/>
              </w:rPr>
            </w:pPr>
          </w:p>
        </w:tc>
        <w:tc>
          <w:tcPr>
            <w:tcW w:w="4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4.C.</w:t>
            </w:r>
          </w:p>
        </w:tc>
        <w:tc>
          <w:tcPr>
            <w:tcW w:w="8380" w:type="dxa"/>
            <w:vAlign w:val="bottom"/>
            <w:tcBorders>
              <w:bottom w:val="single" w:sz="8" w:color="CCEEFF"/>
              <w:right w:val="single" w:sz="8" w:color="auto"/>
            </w:tcBorders>
            <w:gridSpan w:val="12"/>
            <w:shd w:val="clear" w:color="auto" w:fill="CCEEFF"/>
          </w:tcPr>
          <w:p>
            <w:pPr>
              <w:ind w:left="20"/>
              <w:spacing w:after="0"/>
              <w:rPr>
                <w:sz w:val="20"/>
                <w:szCs w:val="20"/>
                <w:color w:val="auto"/>
              </w:rPr>
            </w:pPr>
            <w:r>
              <w:rPr>
                <w:rFonts w:ascii="Arial" w:cs="Arial" w:eastAsia="Arial" w:hAnsi="Arial"/>
                <w:sz w:val="18"/>
                <w:szCs w:val="18"/>
                <w:color w:val="auto"/>
              </w:rPr>
              <w:t>Organizational Structure</w:t>
            </w:r>
          </w:p>
        </w:tc>
        <w:tc>
          <w:tcPr>
            <w:tcW w:w="1400" w:type="dxa"/>
            <w:vAlign w:val="bottom"/>
            <w:tcBorders>
              <w:bottom w:val="single" w:sz="8" w:color="CCEEFF"/>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54</w:t>
            </w:r>
          </w:p>
        </w:tc>
      </w:tr>
      <w:tr>
        <w:trPr>
          <w:trHeight w:val="237"/>
        </w:trPr>
        <w:tc>
          <w:tcPr>
            <w:tcW w:w="40" w:type="dxa"/>
            <w:vAlign w:val="bottom"/>
            <w:tcBorders>
              <w:top w:val="single" w:sz="8" w:color="auto"/>
              <w:left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right w:val="single" w:sz="8" w:color="auto"/>
            </w:tcBorders>
          </w:tcPr>
          <w:p>
            <w:pPr>
              <w:spacing w:after="0"/>
              <w:rPr>
                <w:sz w:val="20"/>
                <w:szCs w:val="20"/>
                <w:color w:val="auto"/>
              </w:rPr>
            </w:pPr>
          </w:p>
        </w:tc>
        <w:tc>
          <w:tcPr>
            <w:tcW w:w="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4.D.</w:t>
            </w:r>
          </w:p>
        </w:tc>
        <w:tc>
          <w:tcPr>
            <w:tcW w:w="8380" w:type="dxa"/>
            <w:vAlign w:val="bottom"/>
            <w:tcBorders>
              <w:top w:val="single" w:sz="8" w:color="auto"/>
              <w:right w:val="single" w:sz="8" w:color="auto"/>
            </w:tcBorders>
            <w:gridSpan w:val="12"/>
          </w:tcPr>
          <w:p>
            <w:pPr>
              <w:ind w:left="20"/>
              <w:spacing w:after="0"/>
              <w:rPr>
                <w:sz w:val="20"/>
                <w:szCs w:val="20"/>
                <w:color w:val="auto"/>
              </w:rPr>
            </w:pPr>
            <w:r>
              <w:rPr>
                <w:rFonts w:ascii="Arial" w:cs="Arial" w:eastAsia="Arial" w:hAnsi="Arial"/>
                <w:sz w:val="18"/>
                <w:szCs w:val="18"/>
                <w:color w:val="auto"/>
              </w:rPr>
              <w:t>Property, Plants and Equipment</w:t>
            </w:r>
          </w:p>
        </w:tc>
        <w:tc>
          <w:tcPr>
            <w:tcW w:w="1400" w:type="dxa"/>
            <w:vAlign w:val="bottom"/>
            <w:tcBorders>
              <w:top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54</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69"/>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right w:val="single" w:sz="8" w:color="auto"/>
            </w:tcBorders>
            <w:shd w:val="clear" w:color="auto" w:fill="CCEEFF"/>
          </w:tcPr>
          <w:p>
            <w:pPr>
              <w:spacing w:after="0"/>
              <w:rPr>
                <w:sz w:val="22"/>
                <w:szCs w:val="22"/>
                <w:color w:val="auto"/>
              </w:rPr>
            </w:pPr>
          </w:p>
        </w:tc>
        <w:tc>
          <w:tcPr>
            <w:tcW w:w="4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4.E.</w:t>
            </w:r>
          </w:p>
        </w:tc>
        <w:tc>
          <w:tcPr>
            <w:tcW w:w="8380" w:type="dxa"/>
            <w:vAlign w:val="bottom"/>
            <w:tcBorders>
              <w:bottom w:val="single" w:sz="8" w:color="CCEEFF"/>
              <w:right w:val="single" w:sz="8" w:color="auto"/>
            </w:tcBorders>
            <w:gridSpan w:val="12"/>
            <w:shd w:val="clear" w:color="auto" w:fill="CCEEFF"/>
          </w:tcPr>
          <w:p>
            <w:pPr>
              <w:ind w:left="20"/>
              <w:spacing w:after="0"/>
              <w:rPr>
                <w:sz w:val="20"/>
                <w:szCs w:val="20"/>
                <w:color w:val="auto"/>
              </w:rPr>
            </w:pPr>
            <w:r>
              <w:rPr>
                <w:rFonts w:ascii="Arial" w:cs="Arial" w:eastAsia="Arial" w:hAnsi="Arial"/>
                <w:sz w:val="18"/>
                <w:szCs w:val="18"/>
                <w:color w:val="auto"/>
              </w:rPr>
              <w:t>Unresolved Staff Comments</w:t>
            </w:r>
          </w:p>
        </w:tc>
        <w:tc>
          <w:tcPr>
            <w:tcW w:w="1400" w:type="dxa"/>
            <w:vAlign w:val="bottom"/>
            <w:tcBorders>
              <w:bottom w:val="single" w:sz="8" w:color="CCEEFF"/>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55</w:t>
            </w:r>
          </w:p>
        </w:tc>
      </w:tr>
      <w:tr>
        <w:trPr>
          <w:trHeight w:val="196"/>
        </w:trPr>
        <w:tc>
          <w:tcPr>
            <w:tcW w:w="1040" w:type="dxa"/>
            <w:vAlign w:val="bottom"/>
            <w:tcBorders>
              <w:top w:val="single" w:sz="8" w:color="auto"/>
              <w:left w:val="single" w:sz="8" w:color="auto"/>
              <w:right w:val="single" w:sz="8" w:color="auto"/>
            </w:tcBorders>
            <w:gridSpan w:val="4"/>
          </w:tcPr>
          <w:p>
            <w:pPr>
              <w:ind w:left="40"/>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Item 5.</w:t>
              </w:r>
            </w:hyperlink>
          </w:p>
        </w:tc>
        <w:tc>
          <w:tcPr>
            <w:tcW w:w="440" w:type="dxa"/>
            <w:vAlign w:val="bottom"/>
            <w:tcBorders>
              <w:top w:val="single" w:sz="8" w:color="auto"/>
              <w:right w:val="single" w:sz="8" w:color="auto"/>
            </w:tcBorders>
          </w:tcPr>
          <w:p>
            <w:pPr>
              <w:spacing w:after="0"/>
              <w:rPr>
                <w:sz w:val="17"/>
                <w:szCs w:val="17"/>
                <w:color w:val="auto"/>
              </w:rPr>
            </w:pPr>
          </w:p>
        </w:tc>
        <w:tc>
          <w:tcPr>
            <w:tcW w:w="8380" w:type="dxa"/>
            <w:vAlign w:val="bottom"/>
            <w:tcBorders>
              <w:top w:val="single" w:sz="8" w:color="auto"/>
              <w:right w:val="single" w:sz="8" w:color="auto"/>
            </w:tcBorders>
            <w:gridSpan w:val="12"/>
          </w:tcPr>
          <w:p>
            <w:pPr>
              <w:ind w:left="20"/>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Operating and Financial Review and Prospects</w:t>
              </w:r>
            </w:hyperlink>
          </w:p>
        </w:tc>
        <w:tc>
          <w:tcPr>
            <w:tcW w:w="1400" w:type="dxa"/>
            <w:vAlign w:val="bottom"/>
            <w:tcBorders>
              <w:top w:val="single" w:sz="8" w:color="auto"/>
              <w:right w:val="single" w:sz="8" w:color="auto"/>
            </w:tcBorders>
          </w:tcPr>
          <w:p>
            <w:pPr>
              <w:jc w:val="center"/>
              <w:ind w:right="10"/>
              <w:spacing w:after="0" w:line="196" w:lineRule="exact"/>
              <w:rPr>
                <w:sz w:val="20"/>
                <w:szCs w:val="20"/>
                <w:color w:val="auto"/>
              </w:rPr>
            </w:pPr>
            <w:r>
              <w:rPr>
                <w:rFonts w:ascii="Arial" w:cs="Arial" w:eastAsia="Arial" w:hAnsi="Arial"/>
                <w:sz w:val="18"/>
                <w:szCs w:val="18"/>
                <w:color w:val="auto"/>
                <w:w w:val="89"/>
              </w:rPr>
              <w:t>55</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520" w:type="dxa"/>
            <w:vAlign w:val="bottom"/>
            <w:tcBorders>
              <w:top w:val="single" w:sz="8" w:color="0000EE"/>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0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360" w:type="dxa"/>
            <w:vAlign w:val="bottom"/>
            <w:tcBorders>
              <w:top w:val="single" w:sz="8" w:color="0000EE"/>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420" w:type="dxa"/>
            <w:vAlign w:val="bottom"/>
            <w:tcBorders>
              <w:top w:val="single" w:sz="8" w:color="0000EE"/>
              <w:bottom w:val="single" w:sz="8" w:color="auto"/>
            </w:tcBorders>
          </w:tcPr>
          <w:p>
            <w:pPr>
              <w:spacing w:after="0"/>
              <w:rPr>
                <w:sz w:val="4"/>
                <w:szCs w:val="4"/>
                <w:color w:val="auto"/>
              </w:rPr>
            </w:pPr>
          </w:p>
        </w:tc>
        <w:tc>
          <w:tcPr>
            <w:tcW w:w="780" w:type="dxa"/>
            <w:vAlign w:val="bottom"/>
            <w:tcBorders>
              <w:top w:val="single" w:sz="8" w:color="0000EE"/>
              <w:bottom w:val="single" w:sz="8" w:color="auto"/>
            </w:tcBorders>
          </w:tcPr>
          <w:p>
            <w:pPr>
              <w:spacing w:after="0"/>
              <w:rPr>
                <w:sz w:val="4"/>
                <w:szCs w:val="4"/>
                <w:color w:val="auto"/>
              </w:rPr>
            </w:pPr>
          </w:p>
        </w:tc>
        <w:tc>
          <w:tcPr>
            <w:tcW w:w="48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36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68"/>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right w:val="single" w:sz="8" w:color="auto"/>
            </w:tcBorders>
            <w:shd w:val="clear" w:color="auto" w:fill="CCEEFF"/>
          </w:tcPr>
          <w:p>
            <w:pPr>
              <w:spacing w:after="0"/>
              <w:rPr>
                <w:sz w:val="22"/>
                <w:szCs w:val="22"/>
                <w:color w:val="auto"/>
              </w:rPr>
            </w:pPr>
          </w:p>
        </w:tc>
        <w:tc>
          <w:tcPr>
            <w:tcW w:w="4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5.A.</w:t>
            </w:r>
          </w:p>
        </w:tc>
        <w:tc>
          <w:tcPr>
            <w:tcW w:w="8380" w:type="dxa"/>
            <w:vAlign w:val="bottom"/>
            <w:tcBorders>
              <w:bottom w:val="single" w:sz="8" w:color="CCEEFF"/>
              <w:right w:val="single" w:sz="8" w:color="auto"/>
            </w:tcBorders>
            <w:gridSpan w:val="12"/>
            <w:shd w:val="clear" w:color="auto" w:fill="CCEEFF"/>
          </w:tcPr>
          <w:p>
            <w:pPr>
              <w:ind w:left="20"/>
              <w:spacing w:after="0"/>
              <w:rPr>
                <w:sz w:val="20"/>
                <w:szCs w:val="20"/>
                <w:color w:val="auto"/>
              </w:rPr>
            </w:pPr>
            <w:r>
              <w:rPr>
                <w:rFonts w:ascii="Arial" w:cs="Arial" w:eastAsia="Arial" w:hAnsi="Arial"/>
                <w:sz w:val="18"/>
                <w:szCs w:val="18"/>
                <w:color w:val="auto"/>
              </w:rPr>
              <w:t>Operating Results</w:t>
            </w:r>
          </w:p>
        </w:tc>
        <w:tc>
          <w:tcPr>
            <w:tcW w:w="1400" w:type="dxa"/>
            <w:vAlign w:val="bottom"/>
            <w:tcBorders>
              <w:bottom w:val="single" w:sz="8" w:color="CCEEFF"/>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55</w:t>
            </w:r>
          </w:p>
        </w:tc>
      </w:tr>
      <w:tr>
        <w:trPr>
          <w:trHeight w:val="237"/>
        </w:trPr>
        <w:tc>
          <w:tcPr>
            <w:tcW w:w="40" w:type="dxa"/>
            <w:vAlign w:val="bottom"/>
            <w:tcBorders>
              <w:top w:val="single" w:sz="8" w:color="auto"/>
              <w:left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right w:val="single" w:sz="8" w:color="auto"/>
            </w:tcBorders>
          </w:tcPr>
          <w:p>
            <w:pPr>
              <w:spacing w:after="0"/>
              <w:rPr>
                <w:sz w:val="20"/>
                <w:szCs w:val="20"/>
                <w:color w:val="auto"/>
              </w:rPr>
            </w:pPr>
          </w:p>
        </w:tc>
        <w:tc>
          <w:tcPr>
            <w:tcW w:w="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5.B.</w:t>
            </w:r>
          </w:p>
        </w:tc>
        <w:tc>
          <w:tcPr>
            <w:tcW w:w="8380" w:type="dxa"/>
            <w:vAlign w:val="bottom"/>
            <w:tcBorders>
              <w:top w:val="single" w:sz="8" w:color="auto"/>
              <w:right w:val="single" w:sz="8" w:color="auto"/>
            </w:tcBorders>
            <w:gridSpan w:val="12"/>
          </w:tcPr>
          <w:p>
            <w:pPr>
              <w:ind w:left="20"/>
              <w:spacing w:after="0"/>
              <w:rPr>
                <w:sz w:val="20"/>
                <w:szCs w:val="20"/>
                <w:color w:val="auto"/>
              </w:rPr>
            </w:pPr>
            <w:r>
              <w:rPr>
                <w:rFonts w:ascii="Arial" w:cs="Arial" w:eastAsia="Arial" w:hAnsi="Arial"/>
                <w:sz w:val="18"/>
                <w:szCs w:val="18"/>
                <w:color w:val="auto"/>
              </w:rPr>
              <w:t>Liquidity and Capital Resources</w:t>
            </w:r>
          </w:p>
        </w:tc>
        <w:tc>
          <w:tcPr>
            <w:tcW w:w="1400" w:type="dxa"/>
            <w:vAlign w:val="bottom"/>
            <w:tcBorders>
              <w:top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70</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69"/>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right w:val="single" w:sz="8" w:color="auto"/>
            </w:tcBorders>
            <w:shd w:val="clear" w:color="auto" w:fill="CCEEFF"/>
          </w:tcPr>
          <w:p>
            <w:pPr>
              <w:spacing w:after="0"/>
              <w:rPr>
                <w:sz w:val="22"/>
                <w:szCs w:val="22"/>
                <w:color w:val="auto"/>
              </w:rPr>
            </w:pPr>
          </w:p>
        </w:tc>
        <w:tc>
          <w:tcPr>
            <w:tcW w:w="4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5.C.</w:t>
            </w:r>
          </w:p>
        </w:tc>
        <w:tc>
          <w:tcPr>
            <w:tcW w:w="8380" w:type="dxa"/>
            <w:vAlign w:val="bottom"/>
            <w:tcBorders>
              <w:bottom w:val="single" w:sz="8" w:color="CCEEFF"/>
              <w:right w:val="single" w:sz="8" w:color="auto"/>
            </w:tcBorders>
            <w:gridSpan w:val="12"/>
            <w:shd w:val="clear" w:color="auto" w:fill="CCEEFF"/>
          </w:tcPr>
          <w:p>
            <w:pPr>
              <w:ind w:left="20"/>
              <w:spacing w:after="0"/>
              <w:rPr>
                <w:sz w:val="20"/>
                <w:szCs w:val="20"/>
                <w:color w:val="auto"/>
              </w:rPr>
            </w:pPr>
            <w:r>
              <w:rPr>
                <w:rFonts w:ascii="Arial" w:cs="Arial" w:eastAsia="Arial" w:hAnsi="Arial"/>
                <w:sz w:val="18"/>
                <w:szCs w:val="18"/>
                <w:color w:val="auto"/>
              </w:rPr>
              <w:t>Research and Development, Patents and Licenses, Etc.</w:t>
            </w:r>
          </w:p>
        </w:tc>
        <w:tc>
          <w:tcPr>
            <w:tcW w:w="1400" w:type="dxa"/>
            <w:vAlign w:val="bottom"/>
            <w:tcBorders>
              <w:bottom w:val="single" w:sz="8" w:color="CCEEFF"/>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72</w:t>
            </w:r>
          </w:p>
        </w:tc>
      </w:tr>
      <w:tr>
        <w:trPr>
          <w:trHeight w:val="237"/>
        </w:trPr>
        <w:tc>
          <w:tcPr>
            <w:tcW w:w="40" w:type="dxa"/>
            <w:vAlign w:val="bottom"/>
            <w:tcBorders>
              <w:top w:val="single" w:sz="8" w:color="auto"/>
              <w:left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right w:val="single" w:sz="8" w:color="auto"/>
            </w:tcBorders>
          </w:tcPr>
          <w:p>
            <w:pPr>
              <w:spacing w:after="0"/>
              <w:rPr>
                <w:sz w:val="20"/>
                <w:szCs w:val="20"/>
                <w:color w:val="auto"/>
              </w:rPr>
            </w:pPr>
          </w:p>
        </w:tc>
        <w:tc>
          <w:tcPr>
            <w:tcW w:w="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5.D.</w:t>
            </w:r>
          </w:p>
        </w:tc>
        <w:tc>
          <w:tcPr>
            <w:tcW w:w="8380" w:type="dxa"/>
            <w:vAlign w:val="bottom"/>
            <w:tcBorders>
              <w:top w:val="single" w:sz="8" w:color="auto"/>
              <w:right w:val="single" w:sz="8" w:color="auto"/>
            </w:tcBorders>
            <w:gridSpan w:val="12"/>
          </w:tcPr>
          <w:p>
            <w:pPr>
              <w:ind w:left="20"/>
              <w:spacing w:after="0"/>
              <w:rPr>
                <w:sz w:val="20"/>
                <w:szCs w:val="20"/>
                <w:color w:val="auto"/>
              </w:rPr>
            </w:pPr>
            <w:r>
              <w:rPr>
                <w:rFonts w:ascii="Arial" w:cs="Arial" w:eastAsia="Arial" w:hAnsi="Arial"/>
                <w:sz w:val="18"/>
                <w:szCs w:val="18"/>
                <w:color w:val="auto"/>
              </w:rPr>
              <w:t>Trend Information</w:t>
            </w:r>
          </w:p>
        </w:tc>
        <w:tc>
          <w:tcPr>
            <w:tcW w:w="1400" w:type="dxa"/>
            <w:vAlign w:val="bottom"/>
            <w:tcBorders>
              <w:top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73</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68"/>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right w:val="single" w:sz="8" w:color="auto"/>
            </w:tcBorders>
            <w:shd w:val="clear" w:color="auto" w:fill="CCEEFF"/>
          </w:tcPr>
          <w:p>
            <w:pPr>
              <w:spacing w:after="0"/>
              <w:rPr>
                <w:sz w:val="22"/>
                <w:szCs w:val="22"/>
                <w:color w:val="auto"/>
              </w:rPr>
            </w:pPr>
          </w:p>
        </w:tc>
        <w:tc>
          <w:tcPr>
            <w:tcW w:w="4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5.E</w:t>
            </w:r>
          </w:p>
        </w:tc>
        <w:tc>
          <w:tcPr>
            <w:tcW w:w="8380" w:type="dxa"/>
            <w:vAlign w:val="bottom"/>
            <w:tcBorders>
              <w:bottom w:val="single" w:sz="8" w:color="CCEEFF"/>
              <w:right w:val="single" w:sz="8" w:color="auto"/>
            </w:tcBorders>
            <w:gridSpan w:val="12"/>
            <w:shd w:val="clear" w:color="auto" w:fill="CCEEFF"/>
          </w:tcPr>
          <w:p>
            <w:pPr>
              <w:ind w:left="20"/>
              <w:spacing w:after="0"/>
              <w:rPr>
                <w:sz w:val="20"/>
                <w:szCs w:val="20"/>
                <w:color w:val="auto"/>
              </w:rPr>
            </w:pPr>
            <w:r>
              <w:rPr>
                <w:rFonts w:ascii="Arial" w:cs="Arial" w:eastAsia="Arial" w:hAnsi="Arial"/>
                <w:sz w:val="18"/>
                <w:szCs w:val="18"/>
                <w:color w:val="auto"/>
              </w:rPr>
              <w:t>Critical Accounting Estimates</w:t>
            </w:r>
          </w:p>
        </w:tc>
        <w:tc>
          <w:tcPr>
            <w:tcW w:w="1400" w:type="dxa"/>
            <w:vAlign w:val="bottom"/>
            <w:tcBorders>
              <w:bottom w:val="single" w:sz="8" w:color="CCEEFF"/>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73</w:t>
            </w:r>
          </w:p>
        </w:tc>
      </w:tr>
      <w:tr>
        <w:trPr>
          <w:trHeight w:val="196"/>
        </w:trPr>
        <w:tc>
          <w:tcPr>
            <w:tcW w:w="1040" w:type="dxa"/>
            <w:vAlign w:val="bottom"/>
            <w:tcBorders>
              <w:top w:val="single" w:sz="8" w:color="auto"/>
              <w:left w:val="single" w:sz="8" w:color="auto"/>
              <w:right w:val="single" w:sz="8" w:color="auto"/>
            </w:tcBorders>
            <w:gridSpan w:val="4"/>
          </w:tcPr>
          <w:p>
            <w:pPr>
              <w:ind w:left="40"/>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Item 6.</w:t>
              </w:r>
            </w:hyperlink>
          </w:p>
        </w:tc>
        <w:tc>
          <w:tcPr>
            <w:tcW w:w="440" w:type="dxa"/>
            <w:vAlign w:val="bottom"/>
            <w:tcBorders>
              <w:top w:val="single" w:sz="8" w:color="auto"/>
              <w:right w:val="single" w:sz="8" w:color="auto"/>
            </w:tcBorders>
          </w:tcPr>
          <w:p>
            <w:pPr>
              <w:spacing w:after="0"/>
              <w:rPr>
                <w:sz w:val="17"/>
                <w:szCs w:val="17"/>
                <w:color w:val="auto"/>
              </w:rPr>
            </w:pPr>
          </w:p>
        </w:tc>
        <w:tc>
          <w:tcPr>
            <w:tcW w:w="8380" w:type="dxa"/>
            <w:vAlign w:val="bottom"/>
            <w:tcBorders>
              <w:top w:val="single" w:sz="8" w:color="auto"/>
              <w:right w:val="single" w:sz="8" w:color="auto"/>
            </w:tcBorders>
            <w:gridSpan w:val="12"/>
          </w:tcPr>
          <w:p>
            <w:pPr>
              <w:ind w:left="20"/>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Directors, Senior Management and Employees</w:t>
              </w:r>
            </w:hyperlink>
          </w:p>
        </w:tc>
        <w:tc>
          <w:tcPr>
            <w:tcW w:w="1400" w:type="dxa"/>
            <w:vAlign w:val="bottom"/>
            <w:tcBorders>
              <w:top w:val="single" w:sz="8" w:color="auto"/>
              <w:right w:val="single" w:sz="8" w:color="auto"/>
            </w:tcBorders>
          </w:tcPr>
          <w:p>
            <w:pPr>
              <w:jc w:val="center"/>
              <w:ind w:right="10"/>
              <w:spacing w:after="0" w:line="196" w:lineRule="exact"/>
              <w:rPr>
                <w:sz w:val="20"/>
                <w:szCs w:val="20"/>
                <w:color w:val="auto"/>
              </w:rPr>
            </w:pPr>
            <w:r>
              <w:rPr>
                <w:rFonts w:ascii="Arial" w:cs="Arial" w:eastAsia="Arial" w:hAnsi="Arial"/>
                <w:sz w:val="18"/>
                <w:szCs w:val="18"/>
                <w:color w:val="auto"/>
                <w:w w:val="89"/>
              </w:rPr>
              <w:t>75</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520" w:type="dxa"/>
            <w:vAlign w:val="bottom"/>
            <w:tcBorders>
              <w:top w:val="single" w:sz="8" w:color="0000EE"/>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0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360" w:type="dxa"/>
            <w:vAlign w:val="bottom"/>
            <w:tcBorders>
              <w:top w:val="single" w:sz="8" w:color="0000EE"/>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420" w:type="dxa"/>
            <w:vAlign w:val="bottom"/>
            <w:tcBorders>
              <w:top w:val="single" w:sz="8" w:color="0000EE"/>
              <w:bottom w:val="single" w:sz="8" w:color="auto"/>
            </w:tcBorders>
          </w:tcPr>
          <w:p>
            <w:pPr>
              <w:spacing w:after="0"/>
              <w:rPr>
                <w:sz w:val="4"/>
                <w:szCs w:val="4"/>
                <w:color w:val="auto"/>
              </w:rPr>
            </w:pPr>
          </w:p>
        </w:tc>
        <w:tc>
          <w:tcPr>
            <w:tcW w:w="780" w:type="dxa"/>
            <w:vAlign w:val="bottom"/>
            <w:tcBorders>
              <w:top w:val="single" w:sz="8" w:color="0000EE"/>
              <w:bottom w:val="single" w:sz="8" w:color="auto"/>
            </w:tcBorders>
          </w:tcPr>
          <w:p>
            <w:pPr>
              <w:spacing w:after="0"/>
              <w:rPr>
                <w:sz w:val="4"/>
                <w:szCs w:val="4"/>
                <w:color w:val="auto"/>
              </w:rPr>
            </w:pPr>
          </w:p>
        </w:tc>
        <w:tc>
          <w:tcPr>
            <w:tcW w:w="480" w:type="dxa"/>
            <w:vAlign w:val="bottom"/>
            <w:tcBorders>
              <w:top w:val="single" w:sz="8" w:color="0000EE"/>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36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68"/>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right w:val="single" w:sz="8" w:color="auto"/>
            </w:tcBorders>
            <w:shd w:val="clear" w:color="auto" w:fill="CCEEFF"/>
          </w:tcPr>
          <w:p>
            <w:pPr>
              <w:spacing w:after="0"/>
              <w:rPr>
                <w:sz w:val="22"/>
                <w:szCs w:val="22"/>
                <w:color w:val="auto"/>
              </w:rPr>
            </w:pPr>
          </w:p>
        </w:tc>
        <w:tc>
          <w:tcPr>
            <w:tcW w:w="4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6.A.</w:t>
            </w:r>
          </w:p>
        </w:tc>
        <w:tc>
          <w:tcPr>
            <w:tcW w:w="8380" w:type="dxa"/>
            <w:vAlign w:val="bottom"/>
            <w:tcBorders>
              <w:bottom w:val="single" w:sz="8" w:color="CCEEFF"/>
              <w:right w:val="single" w:sz="8" w:color="auto"/>
            </w:tcBorders>
            <w:gridSpan w:val="12"/>
            <w:shd w:val="clear" w:color="auto" w:fill="CCEEFF"/>
          </w:tcPr>
          <w:p>
            <w:pPr>
              <w:ind w:left="20"/>
              <w:spacing w:after="0"/>
              <w:rPr>
                <w:sz w:val="20"/>
                <w:szCs w:val="20"/>
                <w:color w:val="auto"/>
              </w:rPr>
            </w:pPr>
            <w:r>
              <w:rPr>
                <w:rFonts w:ascii="Arial" w:cs="Arial" w:eastAsia="Arial" w:hAnsi="Arial"/>
                <w:sz w:val="18"/>
                <w:szCs w:val="18"/>
                <w:color w:val="auto"/>
              </w:rPr>
              <w:t>Directors and Senior Management</w:t>
            </w:r>
          </w:p>
        </w:tc>
        <w:tc>
          <w:tcPr>
            <w:tcW w:w="1400" w:type="dxa"/>
            <w:vAlign w:val="bottom"/>
            <w:tcBorders>
              <w:bottom w:val="single" w:sz="8" w:color="CCEEFF"/>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75</w:t>
            </w:r>
          </w:p>
        </w:tc>
      </w:tr>
      <w:tr>
        <w:trPr>
          <w:trHeight w:val="237"/>
        </w:trPr>
        <w:tc>
          <w:tcPr>
            <w:tcW w:w="40" w:type="dxa"/>
            <w:vAlign w:val="bottom"/>
            <w:tcBorders>
              <w:top w:val="single" w:sz="8" w:color="auto"/>
              <w:left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right w:val="single" w:sz="8" w:color="auto"/>
            </w:tcBorders>
          </w:tcPr>
          <w:p>
            <w:pPr>
              <w:spacing w:after="0"/>
              <w:rPr>
                <w:sz w:val="20"/>
                <w:szCs w:val="20"/>
                <w:color w:val="auto"/>
              </w:rPr>
            </w:pPr>
          </w:p>
        </w:tc>
        <w:tc>
          <w:tcPr>
            <w:tcW w:w="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6.B.</w:t>
            </w:r>
          </w:p>
        </w:tc>
        <w:tc>
          <w:tcPr>
            <w:tcW w:w="8380" w:type="dxa"/>
            <w:vAlign w:val="bottom"/>
            <w:tcBorders>
              <w:top w:val="single" w:sz="8" w:color="auto"/>
              <w:right w:val="single" w:sz="8" w:color="auto"/>
            </w:tcBorders>
            <w:gridSpan w:val="12"/>
          </w:tcPr>
          <w:p>
            <w:pPr>
              <w:ind w:left="20"/>
              <w:spacing w:after="0"/>
              <w:rPr>
                <w:sz w:val="20"/>
                <w:szCs w:val="20"/>
                <w:color w:val="auto"/>
              </w:rPr>
            </w:pPr>
            <w:r>
              <w:rPr>
                <w:rFonts w:ascii="Arial" w:cs="Arial" w:eastAsia="Arial" w:hAnsi="Arial"/>
                <w:sz w:val="18"/>
                <w:szCs w:val="18"/>
                <w:color w:val="auto"/>
              </w:rPr>
              <w:t>Compensation</w:t>
            </w:r>
          </w:p>
        </w:tc>
        <w:tc>
          <w:tcPr>
            <w:tcW w:w="1400" w:type="dxa"/>
            <w:vAlign w:val="bottom"/>
            <w:tcBorders>
              <w:top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77</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69"/>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right w:val="single" w:sz="8" w:color="auto"/>
            </w:tcBorders>
            <w:shd w:val="clear" w:color="auto" w:fill="CCEEFF"/>
          </w:tcPr>
          <w:p>
            <w:pPr>
              <w:spacing w:after="0"/>
              <w:rPr>
                <w:sz w:val="22"/>
                <w:szCs w:val="22"/>
                <w:color w:val="auto"/>
              </w:rPr>
            </w:pPr>
          </w:p>
        </w:tc>
        <w:tc>
          <w:tcPr>
            <w:tcW w:w="4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6.C.</w:t>
            </w:r>
          </w:p>
        </w:tc>
        <w:tc>
          <w:tcPr>
            <w:tcW w:w="8380" w:type="dxa"/>
            <w:vAlign w:val="bottom"/>
            <w:tcBorders>
              <w:bottom w:val="single" w:sz="8" w:color="CCEEFF"/>
              <w:right w:val="single" w:sz="8" w:color="auto"/>
            </w:tcBorders>
            <w:gridSpan w:val="12"/>
            <w:shd w:val="clear" w:color="auto" w:fill="CCEEFF"/>
          </w:tcPr>
          <w:p>
            <w:pPr>
              <w:ind w:left="20"/>
              <w:spacing w:after="0"/>
              <w:rPr>
                <w:sz w:val="20"/>
                <w:szCs w:val="20"/>
                <w:color w:val="auto"/>
              </w:rPr>
            </w:pPr>
            <w:r>
              <w:rPr>
                <w:rFonts w:ascii="Arial" w:cs="Arial" w:eastAsia="Arial" w:hAnsi="Arial"/>
                <w:sz w:val="18"/>
                <w:szCs w:val="18"/>
                <w:color w:val="auto"/>
              </w:rPr>
              <w:t>Board Practices</w:t>
            </w:r>
          </w:p>
        </w:tc>
        <w:tc>
          <w:tcPr>
            <w:tcW w:w="1400" w:type="dxa"/>
            <w:vAlign w:val="bottom"/>
            <w:tcBorders>
              <w:bottom w:val="single" w:sz="8" w:color="CCEEFF"/>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80</w:t>
            </w:r>
          </w:p>
        </w:tc>
      </w:tr>
      <w:tr>
        <w:trPr>
          <w:trHeight w:val="237"/>
        </w:trPr>
        <w:tc>
          <w:tcPr>
            <w:tcW w:w="40" w:type="dxa"/>
            <w:vAlign w:val="bottom"/>
            <w:tcBorders>
              <w:top w:val="single" w:sz="8" w:color="auto"/>
              <w:left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right w:val="single" w:sz="8" w:color="auto"/>
            </w:tcBorders>
          </w:tcPr>
          <w:p>
            <w:pPr>
              <w:spacing w:after="0"/>
              <w:rPr>
                <w:sz w:val="20"/>
                <w:szCs w:val="20"/>
                <w:color w:val="auto"/>
              </w:rPr>
            </w:pPr>
          </w:p>
        </w:tc>
        <w:tc>
          <w:tcPr>
            <w:tcW w:w="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6.D.</w:t>
            </w:r>
          </w:p>
        </w:tc>
        <w:tc>
          <w:tcPr>
            <w:tcW w:w="8380" w:type="dxa"/>
            <w:vAlign w:val="bottom"/>
            <w:tcBorders>
              <w:top w:val="single" w:sz="8" w:color="auto"/>
              <w:right w:val="single" w:sz="8" w:color="auto"/>
            </w:tcBorders>
            <w:gridSpan w:val="12"/>
          </w:tcPr>
          <w:p>
            <w:pPr>
              <w:ind w:left="20"/>
              <w:spacing w:after="0"/>
              <w:rPr>
                <w:sz w:val="20"/>
                <w:szCs w:val="20"/>
                <w:color w:val="auto"/>
              </w:rPr>
            </w:pPr>
            <w:r>
              <w:rPr>
                <w:rFonts w:ascii="Arial" w:cs="Arial" w:eastAsia="Arial" w:hAnsi="Arial"/>
                <w:sz w:val="18"/>
                <w:szCs w:val="18"/>
                <w:color w:val="auto"/>
              </w:rPr>
              <w:t>Employees</w:t>
            </w:r>
          </w:p>
        </w:tc>
        <w:tc>
          <w:tcPr>
            <w:tcW w:w="1400" w:type="dxa"/>
            <w:vAlign w:val="bottom"/>
            <w:tcBorders>
              <w:top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91</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68"/>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right w:val="single" w:sz="8" w:color="auto"/>
            </w:tcBorders>
            <w:shd w:val="clear" w:color="auto" w:fill="CCEEFF"/>
          </w:tcPr>
          <w:p>
            <w:pPr>
              <w:spacing w:after="0"/>
              <w:rPr>
                <w:sz w:val="22"/>
                <w:szCs w:val="22"/>
                <w:color w:val="auto"/>
              </w:rPr>
            </w:pPr>
          </w:p>
        </w:tc>
        <w:tc>
          <w:tcPr>
            <w:tcW w:w="4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6.E.</w:t>
            </w:r>
          </w:p>
        </w:tc>
        <w:tc>
          <w:tcPr>
            <w:tcW w:w="8380" w:type="dxa"/>
            <w:vAlign w:val="bottom"/>
            <w:tcBorders>
              <w:bottom w:val="single" w:sz="8" w:color="CCEEFF"/>
              <w:right w:val="single" w:sz="8" w:color="auto"/>
            </w:tcBorders>
            <w:gridSpan w:val="12"/>
            <w:shd w:val="clear" w:color="auto" w:fill="CCEEFF"/>
          </w:tcPr>
          <w:p>
            <w:pPr>
              <w:ind w:left="20"/>
              <w:spacing w:after="0"/>
              <w:rPr>
                <w:sz w:val="20"/>
                <w:szCs w:val="20"/>
                <w:color w:val="auto"/>
              </w:rPr>
            </w:pPr>
            <w:r>
              <w:rPr>
                <w:rFonts w:ascii="Arial" w:cs="Arial" w:eastAsia="Arial" w:hAnsi="Arial"/>
                <w:sz w:val="18"/>
                <w:szCs w:val="18"/>
                <w:color w:val="auto"/>
              </w:rPr>
              <w:t>Share Ownership</w:t>
            </w:r>
          </w:p>
        </w:tc>
        <w:tc>
          <w:tcPr>
            <w:tcW w:w="1400" w:type="dxa"/>
            <w:vAlign w:val="bottom"/>
            <w:tcBorders>
              <w:bottom w:val="single" w:sz="8" w:color="CCEEFF"/>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92</w:t>
            </w:r>
          </w:p>
        </w:tc>
      </w:tr>
      <w:tr>
        <w:trPr>
          <w:trHeight w:val="196"/>
        </w:trPr>
        <w:tc>
          <w:tcPr>
            <w:tcW w:w="1040" w:type="dxa"/>
            <w:vAlign w:val="bottom"/>
            <w:tcBorders>
              <w:top w:val="single" w:sz="8" w:color="auto"/>
              <w:left w:val="single" w:sz="8" w:color="auto"/>
              <w:right w:val="single" w:sz="8" w:color="auto"/>
            </w:tcBorders>
            <w:gridSpan w:val="4"/>
          </w:tcPr>
          <w:p>
            <w:pPr>
              <w:ind w:left="40"/>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Item 7.</w:t>
              </w:r>
            </w:hyperlink>
          </w:p>
        </w:tc>
        <w:tc>
          <w:tcPr>
            <w:tcW w:w="440" w:type="dxa"/>
            <w:vAlign w:val="bottom"/>
            <w:tcBorders>
              <w:top w:val="single" w:sz="8" w:color="auto"/>
              <w:right w:val="single" w:sz="8" w:color="auto"/>
            </w:tcBorders>
          </w:tcPr>
          <w:p>
            <w:pPr>
              <w:spacing w:after="0"/>
              <w:rPr>
                <w:sz w:val="17"/>
                <w:szCs w:val="17"/>
                <w:color w:val="auto"/>
              </w:rPr>
            </w:pPr>
          </w:p>
        </w:tc>
        <w:tc>
          <w:tcPr>
            <w:tcW w:w="8380" w:type="dxa"/>
            <w:vAlign w:val="bottom"/>
            <w:tcBorders>
              <w:top w:val="single" w:sz="8" w:color="auto"/>
              <w:right w:val="single" w:sz="8" w:color="auto"/>
            </w:tcBorders>
            <w:gridSpan w:val="12"/>
          </w:tcPr>
          <w:p>
            <w:pPr>
              <w:ind w:left="20"/>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Major Shareholders and Related Party Transactions</w:t>
              </w:r>
            </w:hyperlink>
          </w:p>
        </w:tc>
        <w:tc>
          <w:tcPr>
            <w:tcW w:w="1400" w:type="dxa"/>
            <w:vAlign w:val="bottom"/>
            <w:tcBorders>
              <w:top w:val="single" w:sz="8" w:color="auto"/>
              <w:right w:val="single" w:sz="8" w:color="auto"/>
            </w:tcBorders>
          </w:tcPr>
          <w:p>
            <w:pPr>
              <w:jc w:val="center"/>
              <w:ind w:right="10"/>
              <w:spacing w:after="0" w:line="196" w:lineRule="exact"/>
              <w:rPr>
                <w:sz w:val="20"/>
                <w:szCs w:val="20"/>
                <w:color w:val="auto"/>
              </w:rPr>
            </w:pPr>
            <w:r>
              <w:rPr>
                <w:rFonts w:ascii="Arial" w:cs="Arial" w:eastAsia="Arial" w:hAnsi="Arial"/>
                <w:sz w:val="18"/>
                <w:szCs w:val="18"/>
                <w:color w:val="auto"/>
                <w:w w:val="89"/>
              </w:rPr>
              <w:t>92</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520" w:type="dxa"/>
            <w:vAlign w:val="bottom"/>
            <w:tcBorders>
              <w:top w:val="single" w:sz="8" w:color="0000EE"/>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0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360" w:type="dxa"/>
            <w:vAlign w:val="bottom"/>
            <w:tcBorders>
              <w:top w:val="single" w:sz="8" w:color="0000EE"/>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420" w:type="dxa"/>
            <w:vAlign w:val="bottom"/>
            <w:tcBorders>
              <w:top w:val="single" w:sz="8" w:color="0000EE"/>
              <w:bottom w:val="single" w:sz="8" w:color="auto"/>
            </w:tcBorders>
          </w:tcPr>
          <w:p>
            <w:pPr>
              <w:spacing w:after="0"/>
              <w:rPr>
                <w:sz w:val="4"/>
                <w:szCs w:val="4"/>
                <w:color w:val="auto"/>
              </w:rPr>
            </w:pPr>
          </w:p>
        </w:tc>
        <w:tc>
          <w:tcPr>
            <w:tcW w:w="780" w:type="dxa"/>
            <w:vAlign w:val="bottom"/>
            <w:tcBorders>
              <w:top w:val="single" w:sz="8" w:color="0000EE"/>
              <w:bottom w:val="single" w:sz="8" w:color="auto"/>
            </w:tcBorders>
          </w:tcPr>
          <w:p>
            <w:pPr>
              <w:spacing w:after="0"/>
              <w:rPr>
                <w:sz w:val="4"/>
                <w:szCs w:val="4"/>
                <w:color w:val="auto"/>
              </w:rPr>
            </w:pPr>
          </w:p>
        </w:tc>
        <w:tc>
          <w:tcPr>
            <w:tcW w:w="48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340" w:type="dxa"/>
            <w:vAlign w:val="bottom"/>
            <w:tcBorders>
              <w:top w:val="single" w:sz="8" w:color="0000EE"/>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36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68"/>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right w:val="single" w:sz="8" w:color="auto"/>
            </w:tcBorders>
            <w:shd w:val="clear" w:color="auto" w:fill="CCEEFF"/>
          </w:tcPr>
          <w:p>
            <w:pPr>
              <w:spacing w:after="0"/>
              <w:rPr>
                <w:sz w:val="22"/>
                <w:szCs w:val="22"/>
                <w:color w:val="auto"/>
              </w:rPr>
            </w:pPr>
          </w:p>
        </w:tc>
        <w:tc>
          <w:tcPr>
            <w:tcW w:w="4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7.A.</w:t>
            </w:r>
          </w:p>
        </w:tc>
        <w:tc>
          <w:tcPr>
            <w:tcW w:w="8380" w:type="dxa"/>
            <w:vAlign w:val="bottom"/>
            <w:tcBorders>
              <w:bottom w:val="single" w:sz="8" w:color="CCEEFF"/>
              <w:right w:val="single" w:sz="8" w:color="auto"/>
            </w:tcBorders>
            <w:gridSpan w:val="12"/>
            <w:shd w:val="clear" w:color="auto" w:fill="CCEEFF"/>
          </w:tcPr>
          <w:p>
            <w:pPr>
              <w:ind w:left="20"/>
              <w:spacing w:after="0"/>
              <w:rPr>
                <w:sz w:val="20"/>
                <w:szCs w:val="20"/>
                <w:color w:val="auto"/>
              </w:rPr>
            </w:pPr>
            <w:r>
              <w:rPr>
                <w:rFonts w:ascii="Arial" w:cs="Arial" w:eastAsia="Arial" w:hAnsi="Arial"/>
                <w:sz w:val="18"/>
                <w:szCs w:val="18"/>
                <w:color w:val="auto"/>
              </w:rPr>
              <w:t>Major Shareholders</w:t>
            </w:r>
          </w:p>
        </w:tc>
        <w:tc>
          <w:tcPr>
            <w:tcW w:w="1400" w:type="dxa"/>
            <w:vAlign w:val="bottom"/>
            <w:tcBorders>
              <w:bottom w:val="single" w:sz="8" w:color="CCEEFF"/>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92</w:t>
            </w:r>
          </w:p>
        </w:tc>
      </w:tr>
      <w:tr>
        <w:trPr>
          <w:trHeight w:val="237"/>
        </w:trPr>
        <w:tc>
          <w:tcPr>
            <w:tcW w:w="40" w:type="dxa"/>
            <w:vAlign w:val="bottom"/>
            <w:tcBorders>
              <w:top w:val="single" w:sz="8" w:color="auto"/>
              <w:left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right w:val="single" w:sz="8" w:color="auto"/>
            </w:tcBorders>
          </w:tcPr>
          <w:p>
            <w:pPr>
              <w:spacing w:after="0"/>
              <w:rPr>
                <w:sz w:val="20"/>
                <w:szCs w:val="20"/>
                <w:color w:val="auto"/>
              </w:rPr>
            </w:pPr>
          </w:p>
        </w:tc>
        <w:tc>
          <w:tcPr>
            <w:tcW w:w="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7.B.</w:t>
            </w:r>
          </w:p>
        </w:tc>
        <w:tc>
          <w:tcPr>
            <w:tcW w:w="8380" w:type="dxa"/>
            <w:vAlign w:val="bottom"/>
            <w:tcBorders>
              <w:top w:val="single" w:sz="8" w:color="auto"/>
              <w:right w:val="single" w:sz="8" w:color="auto"/>
            </w:tcBorders>
            <w:gridSpan w:val="12"/>
          </w:tcPr>
          <w:p>
            <w:pPr>
              <w:ind w:left="20"/>
              <w:spacing w:after="0"/>
              <w:rPr>
                <w:sz w:val="20"/>
                <w:szCs w:val="20"/>
                <w:color w:val="auto"/>
              </w:rPr>
            </w:pPr>
            <w:r>
              <w:rPr>
                <w:rFonts w:ascii="Arial" w:cs="Arial" w:eastAsia="Arial" w:hAnsi="Arial"/>
                <w:sz w:val="18"/>
                <w:szCs w:val="18"/>
                <w:color w:val="auto"/>
              </w:rPr>
              <w:t>Related Party Transactions</w:t>
            </w:r>
          </w:p>
        </w:tc>
        <w:tc>
          <w:tcPr>
            <w:tcW w:w="1400" w:type="dxa"/>
            <w:vAlign w:val="bottom"/>
            <w:tcBorders>
              <w:top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94</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69"/>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right w:val="single" w:sz="8" w:color="auto"/>
            </w:tcBorders>
            <w:shd w:val="clear" w:color="auto" w:fill="CCEEFF"/>
          </w:tcPr>
          <w:p>
            <w:pPr>
              <w:spacing w:after="0"/>
              <w:rPr>
                <w:sz w:val="22"/>
                <w:szCs w:val="22"/>
                <w:color w:val="auto"/>
              </w:rPr>
            </w:pPr>
          </w:p>
        </w:tc>
        <w:tc>
          <w:tcPr>
            <w:tcW w:w="4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7.C.</w:t>
            </w:r>
          </w:p>
        </w:tc>
        <w:tc>
          <w:tcPr>
            <w:tcW w:w="8380" w:type="dxa"/>
            <w:vAlign w:val="bottom"/>
            <w:tcBorders>
              <w:bottom w:val="single" w:sz="8" w:color="CCEEFF"/>
              <w:right w:val="single" w:sz="8" w:color="auto"/>
            </w:tcBorders>
            <w:gridSpan w:val="12"/>
            <w:shd w:val="clear" w:color="auto" w:fill="CCEEFF"/>
          </w:tcPr>
          <w:p>
            <w:pPr>
              <w:ind w:left="20"/>
              <w:spacing w:after="0"/>
              <w:rPr>
                <w:sz w:val="20"/>
                <w:szCs w:val="20"/>
                <w:color w:val="auto"/>
              </w:rPr>
            </w:pPr>
            <w:r>
              <w:rPr>
                <w:rFonts w:ascii="Arial" w:cs="Arial" w:eastAsia="Arial" w:hAnsi="Arial"/>
                <w:sz w:val="18"/>
                <w:szCs w:val="18"/>
                <w:color w:val="auto"/>
              </w:rPr>
              <w:t>Interests of Experts and Counsel</w:t>
            </w:r>
          </w:p>
        </w:tc>
        <w:tc>
          <w:tcPr>
            <w:tcW w:w="1400" w:type="dxa"/>
            <w:vAlign w:val="bottom"/>
            <w:tcBorders>
              <w:bottom w:val="single" w:sz="8" w:color="CCEEFF"/>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95</w:t>
            </w:r>
          </w:p>
        </w:tc>
      </w:tr>
      <w:tr>
        <w:trPr>
          <w:trHeight w:val="196"/>
        </w:trPr>
        <w:tc>
          <w:tcPr>
            <w:tcW w:w="1040" w:type="dxa"/>
            <w:vAlign w:val="bottom"/>
            <w:tcBorders>
              <w:top w:val="single" w:sz="8" w:color="auto"/>
              <w:left w:val="single" w:sz="8" w:color="auto"/>
              <w:right w:val="single" w:sz="8" w:color="auto"/>
            </w:tcBorders>
            <w:gridSpan w:val="4"/>
          </w:tcPr>
          <w:p>
            <w:pPr>
              <w:ind w:left="40"/>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Item 8.</w:t>
              </w:r>
            </w:hyperlink>
          </w:p>
        </w:tc>
        <w:tc>
          <w:tcPr>
            <w:tcW w:w="440" w:type="dxa"/>
            <w:vAlign w:val="bottom"/>
            <w:tcBorders>
              <w:top w:val="single" w:sz="8" w:color="auto"/>
              <w:right w:val="single" w:sz="8" w:color="auto"/>
            </w:tcBorders>
          </w:tcPr>
          <w:p>
            <w:pPr>
              <w:spacing w:after="0"/>
              <w:rPr>
                <w:sz w:val="17"/>
                <w:szCs w:val="17"/>
                <w:color w:val="auto"/>
              </w:rPr>
            </w:pPr>
          </w:p>
        </w:tc>
        <w:tc>
          <w:tcPr>
            <w:tcW w:w="8380" w:type="dxa"/>
            <w:vAlign w:val="bottom"/>
            <w:tcBorders>
              <w:top w:val="single" w:sz="8" w:color="auto"/>
              <w:right w:val="single" w:sz="8" w:color="auto"/>
            </w:tcBorders>
            <w:gridSpan w:val="12"/>
          </w:tcPr>
          <w:p>
            <w:pPr>
              <w:ind w:left="20"/>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Financial Information</w:t>
              </w:r>
            </w:hyperlink>
          </w:p>
        </w:tc>
        <w:tc>
          <w:tcPr>
            <w:tcW w:w="1400" w:type="dxa"/>
            <w:vAlign w:val="bottom"/>
            <w:tcBorders>
              <w:top w:val="single" w:sz="8" w:color="auto"/>
              <w:right w:val="single" w:sz="8" w:color="auto"/>
            </w:tcBorders>
          </w:tcPr>
          <w:p>
            <w:pPr>
              <w:jc w:val="center"/>
              <w:ind w:right="10"/>
              <w:spacing w:after="0" w:line="196" w:lineRule="exact"/>
              <w:rPr>
                <w:sz w:val="20"/>
                <w:szCs w:val="20"/>
                <w:color w:val="auto"/>
              </w:rPr>
            </w:pPr>
            <w:r>
              <w:rPr>
                <w:rFonts w:ascii="Arial" w:cs="Arial" w:eastAsia="Arial" w:hAnsi="Arial"/>
                <w:sz w:val="18"/>
                <w:szCs w:val="18"/>
                <w:color w:val="auto"/>
                <w:w w:val="89"/>
              </w:rPr>
              <w:t>95</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520" w:type="dxa"/>
            <w:vAlign w:val="bottom"/>
            <w:tcBorders>
              <w:top w:val="single" w:sz="8" w:color="0000EE"/>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0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360" w:type="dxa"/>
            <w:vAlign w:val="bottom"/>
            <w:tcBorders>
              <w:top w:val="single" w:sz="8" w:color="0000EE"/>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36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69"/>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right w:val="single" w:sz="8" w:color="auto"/>
            </w:tcBorders>
            <w:shd w:val="clear" w:color="auto" w:fill="CCEEFF"/>
          </w:tcPr>
          <w:p>
            <w:pPr>
              <w:spacing w:after="0"/>
              <w:rPr>
                <w:sz w:val="22"/>
                <w:szCs w:val="22"/>
                <w:color w:val="auto"/>
              </w:rPr>
            </w:pPr>
          </w:p>
        </w:tc>
        <w:tc>
          <w:tcPr>
            <w:tcW w:w="4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8.A.</w:t>
            </w:r>
          </w:p>
        </w:tc>
        <w:tc>
          <w:tcPr>
            <w:tcW w:w="8380" w:type="dxa"/>
            <w:vAlign w:val="bottom"/>
            <w:tcBorders>
              <w:bottom w:val="single" w:sz="8" w:color="CCEEFF"/>
              <w:right w:val="single" w:sz="8" w:color="auto"/>
            </w:tcBorders>
            <w:gridSpan w:val="12"/>
            <w:shd w:val="clear" w:color="auto" w:fill="CCEEFF"/>
          </w:tcPr>
          <w:p>
            <w:pPr>
              <w:ind w:left="20"/>
              <w:spacing w:after="0"/>
              <w:rPr>
                <w:sz w:val="20"/>
                <w:szCs w:val="20"/>
                <w:color w:val="auto"/>
              </w:rPr>
            </w:pPr>
            <w:r>
              <w:rPr>
                <w:rFonts w:ascii="Arial" w:cs="Arial" w:eastAsia="Arial" w:hAnsi="Arial"/>
                <w:sz w:val="18"/>
                <w:szCs w:val="18"/>
                <w:color w:val="auto"/>
              </w:rPr>
              <w:t>Combined Statements and Other Financial Information</w:t>
            </w:r>
          </w:p>
        </w:tc>
        <w:tc>
          <w:tcPr>
            <w:tcW w:w="1400" w:type="dxa"/>
            <w:vAlign w:val="bottom"/>
            <w:tcBorders>
              <w:bottom w:val="single" w:sz="8" w:color="CCEEFF"/>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95</w:t>
            </w:r>
          </w:p>
        </w:tc>
      </w:tr>
      <w:tr>
        <w:trPr>
          <w:trHeight w:val="236"/>
        </w:trPr>
        <w:tc>
          <w:tcPr>
            <w:tcW w:w="40" w:type="dxa"/>
            <w:vAlign w:val="bottom"/>
            <w:tcBorders>
              <w:top w:val="single" w:sz="8" w:color="auto"/>
              <w:left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right w:val="single" w:sz="8" w:color="auto"/>
            </w:tcBorders>
          </w:tcPr>
          <w:p>
            <w:pPr>
              <w:spacing w:after="0"/>
              <w:rPr>
                <w:sz w:val="20"/>
                <w:szCs w:val="20"/>
                <w:color w:val="auto"/>
              </w:rPr>
            </w:pPr>
          </w:p>
        </w:tc>
        <w:tc>
          <w:tcPr>
            <w:tcW w:w="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8.B.</w:t>
            </w:r>
          </w:p>
        </w:tc>
        <w:tc>
          <w:tcPr>
            <w:tcW w:w="8380" w:type="dxa"/>
            <w:vAlign w:val="bottom"/>
            <w:tcBorders>
              <w:top w:val="single" w:sz="8" w:color="auto"/>
              <w:right w:val="single" w:sz="8" w:color="auto"/>
            </w:tcBorders>
            <w:gridSpan w:val="12"/>
          </w:tcPr>
          <w:p>
            <w:pPr>
              <w:ind w:left="20"/>
              <w:spacing w:after="0"/>
              <w:rPr>
                <w:sz w:val="20"/>
                <w:szCs w:val="20"/>
                <w:color w:val="auto"/>
              </w:rPr>
            </w:pPr>
            <w:r>
              <w:rPr>
                <w:rFonts w:ascii="Arial" w:cs="Arial" w:eastAsia="Arial" w:hAnsi="Arial"/>
                <w:sz w:val="18"/>
                <w:szCs w:val="18"/>
                <w:color w:val="auto"/>
              </w:rPr>
              <w:t>Significant Changes</w:t>
            </w:r>
          </w:p>
        </w:tc>
        <w:tc>
          <w:tcPr>
            <w:tcW w:w="1400" w:type="dxa"/>
            <w:vAlign w:val="bottom"/>
            <w:tcBorders>
              <w:top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96</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63"/>
        </w:trPr>
        <w:tc>
          <w:tcPr>
            <w:tcW w:w="1040" w:type="dxa"/>
            <w:vAlign w:val="bottom"/>
            <w:tcBorders>
              <w:left w:val="single" w:sz="8" w:color="auto"/>
              <w:bottom w:val="single" w:sz="8" w:color="auto"/>
              <w:right w:val="single" w:sz="8" w:color="auto"/>
            </w:tcBorders>
            <w:gridSpan w:val="4"/>
            <w:shd w:val="clear" w:color="auto" w:fill="CCEEFF"/>
          </w:tcPr>
          <w:p>
            <w:pPr>
              <w:ind w:left="40"/>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Item 9.</w:t>
              </w:r>
            </w:hyperlink>
          </w:p>
        </w:tc>
        <w:tc>
          <w:tcPr>
            <w:tcW w:w="440" w:type="dxa"/>
            <w:vAlign w:val="bottom"/>
            <w:tcBorders>
              <w:bottom w:val="single" w:sz="8" w:color="auto"/>
              <w:right w:val="single" w:sz="8" w:color="auto"/>
            </w:tcBorders>
            <w:shd w:val="clear" w:color="auto" w:fill="CCEEFF"/>
          </w:tcPr>
          <w:p>
            <w:pPr>
              <w:spacing w:after="0"/>
              <w:rPr>
                <w:sz w:val="22"/>
                <w:szCs w:val="22"/>
                <w:color w:val="auto"/>
              </w:rPr>
            </w:pPr>
          </w:p>
        </w:tc>
        <w:tc>
          <w:tcPr>
            <w:tcW w:w="8380" w:type="dxa"/>
            <w:vAlign w:val="bottom"/>
            <w:tcBorders>
              <w:bottom w:val="single" w:sz="8" w:color="auto"/>
              <w:right w:val="single" w:sz="8" w:color="auto"/>
            </w:tcBorders>
            <w:gridSpan w:val="12"/>
            <w:shd w:val="clear" w:color="auto" w:fill="CCEEFF"/>
          </w:tcPr>
          <w:p>
            <w:pPr>
              <w:ind w:left="20"/>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The Offer and Listing</w:t>
              </w:r>
            </w:hyperlink>
          </w:p>
        </w:tc>
        <w:tc>
          <w:tcPr>
            <w:tcW w:w="1400" w:type="dxa"/>
            <w:vAlign w:val="bottom"/>
            <w:tcBorders>
              <w:bottom w:val="single" w:sz="8" w:color="auto"/>
              <w:right w:val="single" w:sz="8" w:color="auto"/>
            </w:tcBorders>
            <w:shd w:val="clear" w:color="auto" w:fill="CCEEFF"/>
          </w:tcPr>
          <w:p>
            <w:pPr>
              <w:jc w:val="center"/>
              <w:ind w:right="10"/>
              <w:spacing w:after="0" w:line="196" w:lineRule="exact"/>
              <w:rPr>
                <w:sz w:val="20"/>
                <w:szCs w:val="20"/>
                <w:color w:val="auto"/>
              </w:rPr>
            </w:pPr>
            <w:r>
              <w:rPr>
                <w:rFonts w:ascii="Arial" w:cs="Arial" w:eastAsia="Arial" w:hAnsi="Arial"/>
                <w:sz w:val="18"/>
                <w:szCs w:val="18"/>
                <w:color w:val="auto"/>
                <w:w w:val="89"/>
              </w:rPr>
              <w:t>96</w:t>
            </w:r>
          </w:p>
        </w:tc>
      </w:tr>
      <w:tr>
        <w:trPr>
          <w:trHeight w:val="236"/>
        </w:trPr>
        <w:tc>
          <w:tcPr>
            <w:tcW w:w="4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w:t>
            </w:r>
          </w:p>
        </w:tc>
        <w:tc>
          <w:tcPr>
            <w:tcW w:w="8380" w:type="dxa"/>
            <w:vAlign w:val="bottom"/>
            <w:tcBorders>
              <w:right w:val="single" w:sz="8" w:color="auto"/>
            </w:tcBorders>
            <w:gridSpan w:val="12"/>
          </w:tcPr>
          <w:p>
            <w:pPr>
              <w:ind w:left="20"/>
              <w:spacing w:after="0"/>
              <w:rPr>
                <w:sz w:val="20"/>
                <w:szCs w:val="20"/>
                <w:color w:val="auto"/>
              </w:rPr>
            </w:pPr>
            <w:r>
              <w:rPr>
                <w:rFonts w:ascii="Arial" w:cs="Arial" w:eastAsia="Arial" w:hAnsi="Arial"/>
                <w:sz w:val="18"/>
                <w:szCs w:val="18"/>
                <w:color w:val="auto"/>
              </w:rPr>
              <w:t>Offer and Listing Details</w:t>
            </w:r>
          </w:p>
        </w:tc>
        <w:tc>
          <w:tcPr>
            <w:tcW w:w="140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96</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69"/>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right w:val="single" w:sz="8" w:color="auto"/>
            </w:tcBorders>
            <w:shd w:val="clear" w:color="auto" w:fill="CCEEFF"/>
          </w:tcPr>
          <w:p>
            <w:pPr>
              <w:spacing w:after="0"/>
              <w:rPr>
                <w:sz w:val="22"/>
                <w:szCs w:val="22"/>
                <w:color w:val="auto"/>
              </w:rPr>
            </w:pPr>
          </w:p>
        </w:tc>
        <w:tc>
          <w:tcPr>
            <w:tcW w:w="4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9.B.</w:t>
            </w:r>
          </w:p>
        </w:tc>
        <w:tc>
          <w:tcPr>
            <w:tcW w:w="8380" w:type="dxa"/>
            <w:vAlign w:val="bottom"/>
            <w:tcBorders>
              <w:bottom w:val="single" w:sz="8" w:color="CCEEFF"/>
              <w:right w:val="single" w:sz="8" w:color="auto"/>
            </w:tcBorders>
            <w:gridSpan w:val="12"/>
            <w:shd w:val="clear" w:color="auto" w:fill="CCEEFF"/>
          </w:tcPr>
          <w:p>
            <w:pPr>
              <w:ind w:left="20"/>
              <w:spacing w:after="0"/>
              <w:rPr>
                <w:sz w:val="20"/>
                <w:szCs w:val="20"/>
                <w:color w:val="auto"/>
              </w:rPr>
            </w:pPr>
            <w:r>
              <w:rPr>
                <w:rFonts w:ascii="Arial" w:cs="Arial" w:eastAsia="Arial" w:hAnsi="Arial"/>
                <w:sz w:val="18"/>
                <w:szCs w:val="18"/>
                <w:color w:val="auto"/>
              </w:rPr>
              <w:t>Plan of Distribution</w:t>
            </w:r>
          </w:p>
        </w:tc>
        <w:tc>
          <w:tcPr>
            <w:tcW w:w="1400" w:type="dxa"/>
            <w:vAlign w:val="bottom"/>
            <w:tcBorders>
              <w:bottom w:val="single" w:sz="8" w:color="CCEEFF"/>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96</w:t>
            </w:r>
          </w:p>
        </w:tc>
      </w:tr>
      <w:tr>
        <w:trPr>
          <w:trHeight w:val="236"/>
        </w:trPr>
        <w:tc>
          <w:tcPr>
            <w:tcW w:w="40" w:type="dxa"/>
            <w:vAlign w:val="bottom"/>
            <w:tcBorders>
              <w:top w:val="single" w:sz="8" w:color="auto"/>
              <w:left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right w:val="single" w:sz="8" w:color="auto"/>
            </w:tcBorders>
          </w:tcPr>
          <w:p>
            <w:pPr>
              <w:spacing w:after="0"/>
              <w:rPr>
                <w:sz w:val="20"/>
                <w:szCs w:val="20"/>
                <w:color w:val="auto"/>
              </w:rPr>
            </w:pPr>
          </w:p>
        </w:tc>
        <w:tc>
          <w:tcPr>
            <w:tcW w:w="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9.C.</w:t>
            </w:r>
          </w:p>
        </w:tc>
        <w:tc>
          <w:tcPr>
            <w:tcW w:w="8380" w:type="dxa"/>
            <w:vAlign w:val="bottom"/>
            <w:tcBorders>
              <w:top w:val="single" w:sz="8" w:color="auto"/>
              <w:right w:val="single" w:sz="8" w:color="auto"/>
            </w:tcBorders>
            <w:gridSpan w:val="12"/>
          </w:tcPr>
          <w:p>
            <w:pPr>
              <w:ind w:left="20"/>
              <w:spacing w:after="0"/>
              <w:rPr>
                <w:sz w:val="20"/>
                <w:szCs w:val="20"/>
                <w:color w:val="auto"/>
              </w:rPr>
            </w:pPr>
            <w:r>
              <w:rPr>
                <w:rFonts w:ascii="Arial" w:cs="Arial" w:eastAsia="Arial" w:hAnsi="Arial"/>
                <w:sz w:val="18"/>
                <w:szCs w:val="18"/>
                <w:color w:val="auto"/>
              </w:rPr>
              <w:t>Markets</w:t>
            </w:r>
          </w:p>
        </w:tc>
        <w:tc>
          <w:tcPr>
            <w:tcW w:w="1400" w:type="dxa"/>
            <w:vAlign w:val="bottom"/>
            <w:tcBorders>
              <w:top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96</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68"/>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right w:val="single" w:sz="8" w:color="auto"/>
            </w:tcBorders>
            <w:shd w:val="clear" w:color="auto" w:fill="CCEEFF"/>
          </w:tcPr>
          <w:p>
            <w:pPr>
              <w:spacing w:after="0"/>
              <w:rPr>
                <w:sz w:val="22"/>
                <w:szCs w:val="22"/>
                <w:color w:val="auto"/>
              </w:rPr>
            </w:pPr>
          </w:p>
        </w:tc>
        <w:tc>
          <w:tcPr>
            <w:tcW w:w="4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9.D.</w:t>
            </w:r>
          </w:p>
        </w:tc>
        <w:tc>
          <w:tcPr>
            <w:tcW w:w="8380" w:type="dxa"/>
            <w:vAlign w:val="bottom"/>
            <w:tcBorders>
              <w:bottom w:val="single" w:sz="8" w:color="CCEEFF"/>
              <w:right w:val="single" w:sz="8" w:color="auto"/>
            </w:tcBorders>
            <w:gridSpan w:val="12"/>
            <w:shd w:val="clear" w:color="auto" w:fill="CCEEFF"/>
          </w:tcPr>
          <w:p>
            <w:pPr>
              <w:ind w:left="20"/>
              <w:spacing w:after="0"/>
              <w:rPr>
                <w:sz w:val="20"/>
                <w:szCs w:val="20"/>
                <w:color w:val="auto"/>
              </w:rPr>
            </w:pPr>
            <w:r>
              <w:rPr>
                <w:rFonts w:ascii="Arial" w:cs="Arial" w:eastAsia="Arial" w:hAnsi="Arial"/>
                <w:sz w:val="18"/>
                <w:szCs w:val="18"/>
                <w:color w:val="auto"/>
              </w:rPr>
              <w:t>Selling Shareholders</w:t>
            </w:r>
          </w:p>
        </w:tc>
        <w:tc>
          <w:tcPr>
            <w:tcW w:w="1400" w:type="dxa"/>
            <w:vAlign w:val="bottom"/>
            <w:tcBorders>
              <w:bottom w:val="single" w:sz="8" w:color="CCEEFF"/>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96</w:t>
            </w:r>
          </w:p>
        </w:tc>
      </w:tr>
      <w:tr>
        <w:trPr>
          <w:trHeight w:val="236"/>
        </w:trPr>
        <w:tc>
          <w:tcPr>
            <w:tcW w:w="40" w:type="dxa"/>
            <w:vAlign w:val="bottom"/>
            <w:tcBorders>
              <w:top w:val="single" w:sz="8" w:color="auto"/>
              <w:left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right w:val="single" w:sz="8" w:color="auto"/>
            </w:tcBorders>
          </w:tcPr>
          <w:p>
            <w:pPr>
              <w:spacing w:after="0"/>
              <w:rPr>
                <w:sz w:val="20"/>
                <w:szCs w:val="20"/>
                <w:color w:val="auto"/>
              </w:rPr>
            </w:pPr>
          </w:p>
        </w:tc>
        <w:tc>
          <w:tcPr>
            <w:tcW w:w="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9.E.</w:t>
            </w:r>
          </w:p>
        </w:tc>
        <w:tc>
          <w:tcPr>
            <w:tcW w:w="8380" w:type="dxa"/>
            <w:vAlign w:val="bottom"/>
            <w:tcBorders>
              <w:top w:val="single" w:sz="8" w:color="auto"/>
              <w:right w:val="single" w:sz="8" w:color="auto"/>
            </w:tcBorders>
            <w:gridSpan w:val="12"/>
          </w:tcPr>
          <w:p>
            <w:pPr>
              <w:ind w:left="20"/>
              <w:spacing w:after="0"/>
              <w:rPr>
                <w:sz w:val="20"/>
                <w:szCs w:val="20"/>
                <w:color w:val="auto"/>
              </w:rPr>
            </w:pPr>
            <w:r>
              <w:rPr>
                <w:rFonts w:ascii="Arial" w:cs="Arial" w:eastAsia="Arial" w:hAnsi="Arial"/>
                <w:sz w:val="18"/>
                <w:szCs w:val="18"/>
                <w:color w:val="auto"/>
              </w:rPr>
              <w:t>Dilution</w:t>
            </w:r>
          </w:p>
        </w:tc>
        <w:tc>
          <w:tcPr>
            <w:tcW w:w="1400" w:type="dxa"/>
            <w:vAlign w:val="bottom"/>
            <w:tcBorders>
              <w:top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96</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65"/>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right w:val="single" w:sz="8" w:color="auto"/>
            </w:tcBorders>
            <w:shd w:val="clear" w:color="auto" w:fill="CCEEFF"/>
          </w:tcPr>
          <w:p>
            <w:pPr>
              <w:spacing w:after="0"/>
              <w:rPr>
                <w:sz w:val="22"/>
                <w:szCs w:val="22"/>
                <w:color w:val="auto"/>
              </w:rPr>
            </w:pPr>
          </w:p>
        </w:tc>
        <w:tc>
          <w:tcPr>
            <w:tcW w:w="4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9.F.</w:t>
            </w:r>
          </w:p>
        </w:tc>
        <w:tc>
          <w:tcPr>
            <w:tcW w:w="8380" w:type="dxa"/>
            <w:vAlign w:val="bottom"/>
            <w:tcBorders>
              <w:bottom w:val="single" w:sz="8" w:color="CCEEFF"/>
              <w:right w:val="single" w:sz="8" w:color="auto"/>
            </w:tcBorders>
            <w:gridSpan w:val="12"/>
            <w:shd w:val="clear" w:color="auto" w:fill="CCEEFF"/>
          </w:tcPr>
          <w:p>
            <w:pPr>
              <w:ind w:left="20"/>
              <w:spacing w:after="0"/>
              <w:rPr>
                <w:sz w:val="20"/>
                <w:szCs w:val="20"/>
                <w:color w:val="auto"/>
              </w:rPr>
            </w:pPr>
            <w:r>
              <w:rPr>
                <w:rFonts w:ascii="Arial" w:cs="Arial" w:eastAsia="Arial" w:hAnsi="Arial"/>
                <w:sz w:val="18"/>
                <w:szCs w:val="18"/>
                <w:color w:val="auto"/>
              </w:rPr>
              <w:t>Expenses of the Issue</w:t>
            </w:r>
          </w:p>
        </w:tc>
        <w:tc>
          <w:tcPr>
            <w:tcW w:w="1400" w:type="dxa"/>
            <w:vAlign w:val="bottom"/>
            <w:tcBorders>
              <w:bottom w:val="single" w:sz="8" w:color="CCEEFF"/>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96</w:t>
            </w:r>
          </w:p>
        </w:tc>
      </w:tr>
      <w:tr>
        <w:trPr>
          <w:trHeight w:val="199"/>
        </w:trPr>
        <w:tc>
          <w:tcPr>
            <w:tcW w:w="1040" w:type="dxa"/>
            <w:vAlign w:val="bottom"/>
            <w:tcBorders>
              <w:top w:val="single" w:sz="8" w:color="auto"/>
              <w:left w:val="single" w:sz="8" w:color="auto"/>
              <w:right w:val="single" w:sz="8" w:color="auto"/>
            </w:tcBorders>
            <w:gridSpan w:val="4"/>
          </w:tcPr>
          <w:p>
            <w:pPr>
              <w:ind w:left="40"/>
              <w:spacing w:after="0" w:line="200" w:lineRule="exact"/>
              <w:rPr>
                <w:rFonts w:ascii="Arial" w:cs="Arial" w:eastAsia="Arial" w:hAnsi="Arial"/>
                <w:sz w:val="18"/>
                <w:szCs w:val="18"/>
                <w:color w:val="0000EE"/>
              </w:rPr>
            </w:pPr>
            <w:hyperlink w:anchor="page96">
              <w:r>
                <w:rPr>
                  <w:rFonts w:ascii="Arial" w:cs="Arial" w:eastAsia="Arial" w:hAnsi="Arial"/>
                  <w:sz w:val="18"/>
                  <w:szCs w:val="18"/>
                  <w:color w:val="0000EE"/>
                </w:rPr>
                <w:t>Item 10.</w:t>
              </w:r>
            </w:hyperlink>
          </w:p>
        </w:tc>
        <w:tc>
          <w:tcPr>
            <w:tcW w:w="440" w:type="dxa"/>
            <w:vAlign w:val="bottom"/>
            <w:tcBorders>
              <w:top w:val="single" w:sz="8" w:color="auto"/>
              <w:right w:val="single" w:sz="8" w:color="auto"/>
            </w:tcBorders>
          </w:tcPr>
          <w:p>
            <w:pPr>
              <w:spacing w:after="0"/>
              <w:rPr>
                <w:sz w:val="17"/>
                <w:szCs w:val="17"/>
                <w:color w:val="auto"/>
              </w:rPr>
            </w:pPr>
          </w:p>
        </w:tc>
        <w:tc>
          <w:tcPr>
            <w:tcW w:w="8380" w:type="dxa"/>
            <w:vAlign w:val="bottom"/>
            <w:tcBorders>
              <w:top w:val="single" w:sz="8" w:color="auto"/>
              <w:right w:val="single" w:sz="8" w:color="auto"/>
            </w:tcBorders>
            <w:gridSpan w:val="12"/>
          </w:tcPr>
          <w:p>
            <w:pPr>
              <w:ind w:left="20"/>
              <w:spacing w:after="0" w:line="200" w:lineRule="exact"/>
              <w:rPr>
                <w:rFonts w:ascii="Arial" w:cs="Arial" w:eastAsia="Arial" w:hAnsi="Arial"/>
                <w:sz w:val="18"/>
                <w:szCs w:val="18"/>
                <w:color w:val="0000EE"/>
              </w:rPr>
            </w:pPr>
            <w:hyperlink w:anchor="page96">
              <w:r>
                <w:rPr>
                  <w:rFonts w:ascii="Arial" w:cs="Arial" w:eastAsia="Arial" w:hAnsi="Arial"/>
                  <w:sz w:val="18"/>
                  <w:szCs w:val="18"/>
                  <w:color w:val="0000EE"/>
                </w:rPr>
                <w:t>Additional Information</w:t>
              </w:r>
            </w:hyperlink>
          </w:p>
        </w:tc>
        <w:tc>
          <w:tcPr>
            <w:tcW w:w="1400" w:type="dxa"/>
            <w:vAlign w:val="bottom"/>
            <w:tcBorders>
              <w:top w:val="single" w:sz="8" w:color="auto"/>
              <w:right w:val="single" w:sz="8" w:color="auto"/>
            </w:tcBorders>
          </w:tcPr>
          <w:p>
            <w:pPr>
              <w:jc w:val="center"/>
              <w:ind w:right="10"/>
              <w:spacing w:after="0" w:line="200" w:lineRule="exact"/>
              <w:rPr>
                <w:sz w:val="20"/>
                <w:szCs w:val="20"/>
                <w:color w:val="auto"/>
              </w:rPr>
            </w:pPr>
            <w:r>
              <w:rPr>
                <w:rFonts w:ascii="Arial" w:cs="Arial" w:eastAsia="Arial" w:hAnsi="Arial"/>
                <w:sz w:val="18"/>
                <w:szCs w:val="18"/>
                <w:color w:val="auto"/>
                <w:w w:val="89"/>
              </w:rPr>
              <w:t>96</w:t>
            </w:r>
          </w:p>
        </w:tc>
      </w:tr>
      <w:tr>
        <w:trPr>
          <w:trHeight w:val="64"/>
        </w:trPr>
        <w:tc>
          <w:tcPr>
            <w:tcW w:w="40" w:type="dxa"/>
            <w:vAlign w:val="bottom"/>
            <w:tcBorders>
              <w:left w:val="single" w:sz="8" w:color="auto"/>
              <w:bottom w:val="single" w:sz="8" w:color="auto"/>
            </w:tcBorders>
          </w:tcPr>
          <w:p>
            <w:pPr>
              <w:spacing w:after="0"/>
              <w:rPr>
                <w:sz w:val="5"/>
                <w:szCs w:val="5"/>
                <w:color w:val="auto"/>
              </w:rPr>
            </w:pPr>
          </w:p>
        </w:tc>
        <w:tc>
          <w:tcPr>
            <w:tcW w:w="52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4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900" w:type="dxa"/>
            <w:vAlign w:val="bottom"/>
            <w:tcBorders>
              <w:top w:val="single" w:sz="8" w:color="0000EE"/>
              <w:bottom w:val="single" w:sz="8" w:color="auto"/>
            </w:tcBorders>
          </w:tcPr>
          <w:p>
            <w:pPr>
              <w:spacing w:after="0"/>
              <w:rPr>
                <w:sz w:val="5"/>
                <w:szCs w:val="5"/>
                <w:color w:val="auto"/>
              </w:rPr>
            </w:pPr>
          </w:p>
        </w:tc>
        <w:tc>
          <w:tcPr>
            <w:tcW w:w="320" w:type="dxa"/>
            <w:vAlign w:val="bottom"/>
            <w:tcBorders>
              <w:top w:val="single" w:sz="8" w:color="0000EE"/>
              <w:bottom w:val="single" w:sz="8" w:color="auto"/>
            </w:tcBorders>
          </w:tcPr>
          <w:p>
            <w:pPr>
              <w:spacing w:after="0"/>
              <w:rPr>
                <w:sz w:val="5"/>
                <w:szCs w:val="5"/>
                <w:color w:val="auto"/>
              </w:rPr>
            </w:pPr>
          </w:p>
        </w:tc>
        <w:tc>
          <w:tcPr>
            <w:tcW w:w="36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36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r>
      <w:tr>
        <w:trPr>
          <w:trHeight w:val="584"/>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380" w:type="dxa"/>
            <w:vAlign w:val="bottom"/>
            <w:gridSpan w:val="12"/>
          </w:tcPr>
          <w:p>
            <w:pPr>
              <w:jc w:val="center"/>
              <w:ind w:right="100"/>
              <w:spacing w:after="0"/>
              <w:rPr>
                <w:sz w:val="20"/>
                <w:szCs w:val="20"/>
                <w:color w:val="auto"/>
              </w:rPr>
            </w:pPr>
            <w:r>
              <w:rPr>
                <w:rFonts w:ascii="Arial" w:cs="Arial" w:eastAsia="Arial" w:hAnsi="Arial"/>
                <w:sz w:val="18"/>
                <w:szCs w:val="18"/>
                <w:color w:val="auto"/>
                <w:w w:val="79"/>
              </w:rPr>
              <w:t>3</w:t>
            </w:r>
          </w:p>
        </w:tc>
        <w:tc>
          <w:tcPr>
            <w:tcW w:w="1400" w:type="dxa"/>
            <w:vAlign w:val="bottom"/>
          </w:tcPr>
          <w:p>
            <w:pPr>
              <w:spacing w:after="0"/>
              <w:rPr>
                <w:sz w:val="24"/>
                <w:szCs w:val="24"/>
                <w:color w:val="auto"/>
              </w:rPr>
            </w:pPr>
          </w:p>
        </w:tc>
      </w:tr>
      <w:tr>
        <w:trPr>
          <w:trHeight w:val="61"/>
        </w:trPr>
        <w:tc>
          <w:tcPr>
            <w:tcW w:w="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3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348"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40" w:type="dxa"/>
            <w:vAlign w:val="bottom"/>
            <w:tcBorders>
              <w:top w:val="single" w:sz="8" w:color="auto"/>
              <w:left w:val="single" w:sz="8" w:color="auto"/>
              <w:bottom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CCEEFF"/>
              <w:right w:val="single" w:sz="8" w:color="auto"/>
            </w:tcBorders>
            <w:shd w:val="clear" w:color="auto" w:fill="CCEEFF"/>
          </w:tcPr>
          <w:p>
            <w:pPr>
              <w:spacing w:after="0"/>
              <w:rPr>
                <w:sz w:val="24"/>
                <w:szCs w:val="24"/>
                <w:color w:val="auto"/>
              </w:rPr>
            </w:pPr>
          </w:p>
        </w:tc>
        <w:tc>
          <w:tcPr>
            <w:tcW w:w="480" w:type="dxa"/>
            <w:vAlign w:val="bottom"/>
            <w:tcBorders>
              <w:top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10.A.</w:t>
            </w:r>
          </w:p>
        </w:tc>
        <w:tc>
          <w:tcPr>
            <w:tcW w:w="20" w:type="dxa"/>
            <w:vAlign w:val="bottom"/>
            <w:tcBorders>
              <w:top w:val="single" w:sz="8" w:color="auto"/>
              <w:bottom w:val="single" w:sz="8" w:color="CCEEFF"/>
            </w:tcBorders>
            <w:shd w:val="clear" w:color="auto" w:fill="CCEEFF"/>
          </w:tcPr>
          <w:p>
            <w:pPr>
              <w:spacing w:after="0"/>
              <w:rPr>
                <w:sz w:val="24"/>
                <w:szCs w:val="24"/>
                <w:color w:val="auto"/>
              </w:rPr>
            </w:pPr>
          </w:p>
        </w:tc>
        <w:tc>
          <w:tcPr>
            <w:tcW w:w="8320" w:type="dxa"/>
            <w:vAlign w:val="bottom"/>
            <w:tcBorders>
              <w:top w:val="single" w:sz="8" w:color="auto"/>
              <w:bottom w:val="single" w:sz="8" w:color="CCEEFF"/>
              <w:right w:val="single" w:sz="8" w:color="auto"/>
            </w:tcBorders>
            <w:gridSpan w:val="9"/>
            <w:shd w:val="clear" w:color="auto" w:fill="CCEEFF"/>
          </w:tcPr>
          <w:p>
            <w:pPr>
              <w:spacing w:after="0"/>
              <w:rPr>
                <w:sz w:val="20"/>
                <w:szCs w:val="20"/>
                <w:color w:val="auto"/>
              </w:rPr>
            </w:pPr>
            <w:r>
              <w:rPr>
                <w:rFonts w:ascii="Arial" w:cs="Arial" w:eastAsia="Arial" w:hAnsi="Arial"/>
                <w:sz w:val="18"/>
                <w:szCs w:val="18"/>
                <w:color w:val="auto"/>
              </w:rPr>
              <w:t>Share Capital</w:t>
            </w:r>
          </w:p>
        </w:tc>
        <w:tc>
          <w:tcPr>
            <w:tcW w:w="140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96</w:t>
            </w:r>
          </w:p>
        </w:tc>
      </w:tr>
      <w:tr>
        <w:trPr>
          <w:trHeight w:val="237"/>
        </w:trPr>
        <w:tc>
          <w:tcPr>
            <w:tcW w:w="40" w:type="dxa"/>
            <w:vAlign w:val="bottom"/>
            <w:tcBorders>
              <w:top w:val="single" w:sz="8" w:color="auto"/>
              <w:left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80" w:type="dxa"/>
            <w:vAlign w:val="bottom"/>
            <w:tcBorders>
              <w:top w:val="single" w:sz="8" w:color="auto"/>
              <w:right w:val="single" w:sz="8" w:color="auto"/>
            </w:tcBorders>
          </w:tcPr>
          <w:p>
            <w:pPr>
              <w:spacing w:after="0"/>
              <w:rPr>
                <w:sz w:val="20"/>
                <w:szCs w:val="20"/>
                <w:color w:val="auto"/>
              </w:rPr>
            </w:pPr>
          </w:p>
        </w:tc>
        <w:tc>
          <w:tcPr>
            <w:tcW w:w="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10.B.</w:t>
            </w:r>
          </w:p>
        </w:tc>
        <w:tc>
          <w:tcPr>
            <w:tcW w:w="20" w:type="dxa"/>
            <w:vAlign w:val="bottom"/>
            <w:tcBorders>
              <w:top w:val="single" w:sz="8" w:color="auto"/>
            </w:tcBorders>
          </w:tcPr>
          <w:p>
            <w:pPr>
              <w:spacing w:after="0"/>
              <w:rPr>
                <w:sz w:val="20"/>
                <w:szCs w:val="20"/>
                <w:color w:val="auto"/>
              </w:rPr>
            </w:pPr>
          </w:p>
        </w:tc>
        <w:tc>
          <w:tcPr>
            <w:tcW w:w="8320" w:type="dxa"/>
            <w:vAlign w:val="bottom"/>
            <w:tcBorders>
              <w:top w:val="single" w:sz="8" w:color="auto"/>
              <w:right w:val="single" w:sz="8" w:color="auto"/>
            </w:tcBorders>
            <w:gridSpan w:val="9"/>
          </w:tcPr>
          <w:p>
            <w:pPr>
              <w:spacing w:after="0"/>
              <w:rPr>
                <w:sz w:val="20"/>
                <w:szCs w:val="20"/>
                <w:color w:val="auto"/>
              </w:rPr>
            </w:pPr>
            <w:r>
              <w:rPr>
                <w:rFonts w:ascii="Arial" w:cs="Arial" w:eastAsia="Arial" w:hAnsi="Arial"/>
                <w:sz w:val="18"/>
                <w:szCs w:val="18"/>
                <w:color w:val="auto"/>
              </w:rPr>
              <w:t>Memorandum and Articles of Association</w:t>
            </w: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97</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68"/>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right w:val="single" w:sz="8" w:color="auto"/>
            </w:tcBorders>
            <w:shd w:val="clear" w:color="auto" w:fill="CCEEFF"/>
          </w:tcPr>
          <w:p>
            <w:pPr>
              <w:spacing w:after="0"/>
              <w:rPr>
                <w:sz w:val="22"/>
                <w:szCs w:val="22"/>
                <w:color w:val="auto"/>
              </w:rPr>
            </w:pPr>
          </w:p>
        </w:tc>
        <w:tc>
          <w:tcPr>
            <w:tcW w:w="4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7"/>
              </w:rPr>
              <w:t>10.C.</w:t>
            </w:r>
          </w:p>
        </w:tc>
        <w:tc>
          <w:tcPr>
            <w:tcW w:w="2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right w:val="single" w:sz="8" w:color="auto"/>
            </w:tcBorders>
            <w:gridSpan w:val="9"/>
            <w:shd w:val="clear" w:color="auto" w:fill="CCEEFF"/>
          </w:tcPr>
          <w:p>
            <w:pPr>
              <w:spacing w:after="0"/>
              <w:rPr>
                <w:sz w:val="20"/>
                <w:szCs w:val="20"/>
                <w:color w:val="auto"/>
              </w:rPr>
            </w:pPr>
            <w:r>
              <w:rPr>
                <w:rFonts w:ascii="Arial" w:cs="Arial" w:eastAsia="Arial" w:hAnsi="Arial"/>
                <w:sz w:val="18"/>
                <w:szCs w:val="18"/>
                <w:color w:val="auto"/>
              </w:rPr>
              <w:t>Material Contracts</w:t>
            </w:r>
          </w:p>
        </w:tc>
        <w:tc>
          <w:tcPr>
            <w:tcW w:w="14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97</w:t>
            </w:r>
          </w:p>
        </w:tc>
      </w:tr>
      <w:tr>
        <w:trPr>
          <w:trHeight w:val="237"/>
        </w:trPr>
        <w:tc>
          <w:tcPr>
            <w:tcW w:w="40" w:type="dxa"/>
            <w:vAlign w:val="bottom"/>
            <w:tcBorders>
              <w:top w:val="single" w:sz="8" w:color="auto"/>
              <w:left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80" w:type="dxa"/>
            <w:vAlign w:val="bottom"/>
            <w:tcBorders>
              <w:top w:val="single" w:sz="8" w:color="auto"/>
              <w:right w:val="single" w:sz="8" w:color="auto"/>
            </w:tcBorders>
          </w:tcPr>
          <w:p>
            <w:pPr>
              <w:spacing w:after="0"/>
              <w:rPr>
                <w:sz w:val="20"/>
                <w:szCs w:val="20"/>
                <w:color w:val="auto"/>
              </w:rPr>
            </w:pPr>
          </w:p>
        </w:tc>
        <w:tc>
          <w:tcPr>
            <w:tcW w:w="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7"/>
              </w:rPr>
              <w:t>10.D.</w:t>
            </w:r>
          </w:p>
        </w:tc>
        <w:tc>
          <w:tcPr>
            <w:tcW w:w="20" w:type="dxa"/>
            <w:vAlign w:val="bottom"/>
            <w:tcBorders>
              <w:top w:val="single" w:sz="8" w:color="auto"/>
            </w:tcBorders>
          </w:tcPr>
          <w:p>
            <w:pPr>
              <w:spacing w:after="0"/>
              <w:rPr>
                <w:sz w:val="20"/>
                <w:szCs w:val="20"/>
                <w:color w:val="auto"/>
              </w:rPr>
            </w:pPr>
          </w:p>
        </w:tc>
        <w:tc>
          <w:tcPr>
            <w:tcW w:w="8320" w:type="dxa"/>
            <w:vAlign w:val="bottom"/>
            <w:tcBorders>
              <w:top w:val="single" w:sz="8" w:color="auto"/>
              <w:right w:val="single" w:sz="8" w:color="auto"/>
            </w:tcBorders>
            <w:gridSpan w:val="9"/>
          </w:tcPr>
          <w:p>
            <w:pPr>
              <w:spacing w:after="0"/>
              <w:rPr>
                <w:sz w:val="20"/>
                <w:szCs w:val="20"/>
                <w:color w:val="auto"/>
              </w:rPr>
            </w:pPr>
            <w:r>
              <w:rPr>
                <w:rFonts w:ascii="Arial" w:cs="Arial" w:eastAsia="Arial" w:hAnsi="Arial"/>
                <w:sz w:val="18"/>
                <w:szCs w:val="18"/>
                <w:color w:val="auto"/>
              </w:rPr>
              <w:t>Exchange Controls</w:t>
            </w: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97</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68"/>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right w:val="single" w:sz="8" w:color="auto"/>
            </w:tcBorders>
            <w:shd w:val="clear" w:color="auto" w:fill="CCEEFF"/>
          </w:tcPr>
          <w:p>
            <w:pPr>
              <w:spacing w:after="0"/>
              <w:rPr>
                <w:sz w:val="22"/>
                <w:szCs w:val="22"/>
                <w:color w:val="auto"/>
              </w:rPr>
            </w:pPr>
          </w:p>
        </w:tc>
        <w:tc>
          <w:tcPr>
            <w:tcW w:w="4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10.E.</w:t>
            </w:r>
          </w:p>
        </w:tc>
        <w:tc>
          <w:tcPr>
            <w:tcW w:w="2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right w:val="single" w:sz="8" w:color="auto"/>
            </w:tcBorders>
            <w:gridSpan w:val="9"/>
            <w:shd w:val="clear" w:color="auto" w:fill="CCEEFF"/>
          </w:tcPr>
          <w:p>
            <w:pPr>
              <w:spacing w:after="0"/>
              <w:rPr>
                <w:sz w:val="20"/>
                <w:szCs w:val="20"/>
                <w:color w:val="auto"/>
              </w:rPr>
            </w:pPr>
            <w:r>
              <w:rPr>
                <w:rFonts w:ascii="Arial" w:cs="Arial" w:eastAsia="Arial" w:hAnsi="Arial"/>
                <w:sz w:val="18"/>
                <w:szCs w:val="18"/>
                <w:color w:val="auto"/>
              </w:rPr>
              <w:t>Taxation</w:t>
            </w:r>
          </w:p>
        </w:tc>
        <w:tc>
          <w:tcPr>
            <w:tcW w:w="14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97</w:t>
            </w:r>
          </w:p>
        </w:tc>
      </w:tr>
      <w:tr>
        <w:trPr>
          <w:trHeight w:val="237"/>
        </w:trPr>
        <w:tc>
          <w:tcPr>
            <w:tcW w:w="40" w:type="dxa"/>
            <w:vAlign w:val="bottom"/>
            <w:tcBorders>
              <w:top w:val="single" w:sz="8" w:color="auto"/>
              <w:left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80" w:type="dxa"/>
            <w:vAlign w:val="bottom"/>
            <w:tcBorders>
              <w:top w:val="single" w:sz="8" w:color="auto"/>
              <w:right w:val="single" w:sz="8" w:color="auto"/>
            </w:tcBorders>
          </w:tcPr>
          <w:p>
            <w:pPr>
              <w:spacing w:after="0"/>
              <w:rPr>
                <w:sz w:val="20"/>
                <w:szCs w:val="20"/>
                <w:color w:val="auto"/>
              </w:rPr>
            </w:pPr>
          </w:p>
        </w:tc>
        <w:tc>
          <w:tcPr>
            <w:tcW w:w="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10.F.</w:t>
            </w:r>
          </w:p>
        </w:tc>
        <w:tc>
          <w:tcPr>
            <w:tcW w:w="20" w:type="dxa"/>
            <w:vAlign w:val="bottom"/>
            <w:tcBorders>
              <w:top w:val="single" w:sz="8" w:color="auto"/>
            </w:tcBorders>
          </w:tcPr>
          <w:p>
            <w:pPr>
              <w:spacing w:after="0"/>
              <w:rPr>
                <w:sz w:val="20"/>
                <w:szCs w:val="20"/>
                <w:color w:val="auto"/>
              </w:rPr>
            </w:pPr>
          </w:p>
        </w:tc>
        <w:tc>
          <w:tcPr>
            <w:tcW w:w="8320" w:type="dxa"/>
            <w:vAlign w:val="bottom"/>
            <w:tcBorders>
              <w:top w:val="single" w:sz="8" w:color="auto"/>
              <w:right w:val="single" w:sz="8" w:color="auto"/>
            </w:tcBorders>
            <w:gridSpan w:val="9"/>
          </w:tcPr>
          <w:p>
            <w:pPr>
              <w:spacing w:after="0"/>
              <w:rPr>
                <w:sz w:val="20"/>
                <w:szCs w:val="20"/>
                <w:color w:val="auto"/>
              </w:rPr>
            </w:pPr>
            <w:r>
              <w:rPr>
                <w:rFonts w:ascii="Arial" w:cs="Arial" w:eastAsia="Arial" w:hAnsi="Arial"/>
                <w:sz w:val="18"/>
                <w:szCs w:val="18"/>
                <w:color w:val="auto"/>
              </w:rPr>
              <w:t>Dividends and Paying Agents</w:t>
            </w: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107</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68"/>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right w:val="single" w:sz="8" w:color="auto"/>
            </w:tcBorders>
            <w:shd w:val="clear" w:color="auto" w:fill="CCEEFF"/>
          </w:tcPr>
          <w:p>
            <w:pPr>
              <w:spacing w:after="0"/>
              <w:rPr>
                <w:sz w:val="22"/>
                <w:szCs w:val="22"/>
                <w:color w:val="auto"/>
              </w:rPr>
            </w:pPr>
          </w:p>
        </w:tc>
        <w:tc>
          <w:tcPr>
            <w:tcW w:w="4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5"/>
              </w:rPr>
              <w:t>10.G.</w:t>
            </w:r>
          </w:p>
        </w:tc>
        <w:tc>
          <w:tcPr>
            <w:tcW w:w="2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right w:val="single" w:sz="8" w:color="auto"/>
            </w:tcBorders>
            <w:gridSpan w:val="9"/>
            <w:shd w:val="clear" w:color="auto" w:fill="CCEEFF"/>
          </w:tcPr>
          <w:p>
            <w:pPr>
              <w:spacing w:after="0"/>
              <w:rPr>
                <w:sz w:val="20"/>
                <w:szCs w:val="20"/>
                <w:color w:val="auto"/>
              </w:rPr>
            </w:pPr>
            <w:r>
              <w:rPr>
                <w:rFonts w:ascii="Arial" w:cs="Arial" w:eastAsia="Arial" w:hAnsi="Arial"/>
                <w:sz w:val="18"/>
                <w:szCs w:val="18"/>
                <w:color w:val="auto"/>
              </w:rPr>
              <w:t>Statements by Experts</w:t>
            </w:r>
          </w:p>
        </w:tc>
        <w:tc>
          <w:tcPr>
            <w:tcW w:w="14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107</w:t>
            </w:r>
          </w:p>
        </w:tc>
      </w:tr>
      <w:tr>
        <w:trPr>
          <w:trHeight w:val="237"/>
        </w:trPr>
        <w:tc>
          <w:tcPr>
            <w:tcW w:w="40" w:type="dxa"/>
            <w:vAlign w:val="bottom"/>
            <w:tcBorders>
              <w:top w:val="single" w:sz="8" w:color="auto"/>
              <w:left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80" w:type="dxa"/>
            <w:vAlign w:val="bottom"/>
            <w:tcBorders>
              <w:top w:val="single" w:sz="8" w:color="auto"/>
              <w:right w:val="single" w:sz="8" w:color="auto"/>
            </w:tcBorders>
          </w:tcPr>
          <w:p>
            <w:pPr>
              <w:spacing w:after="0"/>
              <w:rPr>
                <w:sz w:val="20"/>
                <w:szCs w:val="20"/>
                <w:color w:val="auto"/>
              </w:rPr>
            </w:pPr>
          </w:p>
        </w:tc>
        <w:tc>
          <w:tcPr>
            <w:tcW w:w="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7"/>
              </w:rPr>
              <w:t>10.H.</w:t>
            </w:r>
          </w:p>
        </w:tc>
        <w:tc>
          <w:tcPr>
            <w:tcW w:w="20" w:type="dxa"/>
            <w:vAlign w:val="bottom"/>
            <w:tcBorders>
              <w:top w:val="single" w:sz="8" w:color="auto"/>
            </w:tcBorders>
          </w:tcPr>
          <w:p>
            <w:pPr>
              <w:spacing w:after="0"/>
              <w:rPr>
                <w:sz w:val="20"/>
                <w:szCs w:val="20"/>
                <w:color w:val="auto"/>
              </w:rPr>
            </w:pPr>
          </w:p>
        </w:tc>
        <w:tc>
          <w:tcPr>
            <w:tcW w:w="8320" w:type="dxa"/>
            <w:vAlign w:val="bottom"/>
            <w:tcBorders>
              <w:top w:val="single" w:sz="8" w:color="auto"/>
              <w:right w:val="single" w:sz="8" w:color="auto"/>
            </w:tcBorders>
            <w:gridSpan w:val="9"/>
          </w:tcPr>
          <w:p>
            <w:pPr>
              <w:spacing w:after="0"/>
              <w:rPr>
                <w:sz w:val="20"/>
                <w:szCs w:val="20"/>
                <w:color w:val="auto"/>
              </w:rPr>
            </w:pPr>
            <w:r>
              <w:rPr>
                <w:rFonts w:ascii="Arial" w:cs="Arial" w:eastAsia="Arial" w:hAnsi="Arial"/>
                <w:sz w:val="18"/>
                <w:szCs w:val="18"/>
                <w:color w:val="auto"/>
              </w:rPr>
              <w:t>Documents on Display</w:t>
            </w: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107</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68"/>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right w:val="single" w:sz="8" w:color="auto"/>
            </w:tcBorders>
            <w:shd w:val="clear" w:color="auto" w:fill="CCEEFF"/>
          </w:tcPr>
          <w:p>
            <w:pPr>
              <w:spacing w:after="0"/>
              <w:rPr>
                <w:sz w:val="22"/>
                <w:szCs w:val="22"/>
                <w:color w:val="auto"/>
              </w:rPr>
            </w:pPr>
          </w:p>
        </w:tc>
        <w:tc>
          <w:tcPr>
            <w:tcW w:w="4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10.I.</w:t>
            </w:r>
          </w:p>
        </w:tc>
        <w:tc>
          <w:tcPr>
            <w:tcW w:w="2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right w:val="single" w:sz="8" w:color="auto"/>
            </w:tcBorders>
            <w:gridSpan w:val="9"/>
            <w:shd w:val="clear" w:color="auto" w:fill="CCEEFF"/>
          </w:tcPr>
          <w:p>
            <w:pPr>
              <w:spacing w:after="0"/>
              <w:rPr>
                <w:sz w:val="20"/>
                <w:szCs w:val="20"/>
                <w:color w:val="auto"/>
              </w:rPr>
            </w:pPr>
            <w:r>
              <w:rPr>
                <w:rFonts w:ascii="Arial" w:cs="Arial" w:eastAsia="Arial" w:hAnsi="Arial"/>
                <w:sz w:val="18"/>
                <w:szCs w:val="18"/>
                <w:color w:val="auto"/>
              </w:rPr>
              <w:t>Subsidiary Information</w:t>
            </w:r>
          </w:p>
        </w:tc>
        <w:tc>
          <w:tcPr>
            <w:tcW w:w="14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107</w:t>
            </w:r>
          </w:p>
        </w:tc>
      </w:tr>
      <w:tr>
        <w:trPr>
          <w:trHeight w:val="196"/>
        </w:trPr>
        <w:tc>
          <w:tcPr>
            <w:tcW w:w="1020" w:type="dxa"/>
            <w:vAlign w:val="bottom"/>
            <w:tcBorders>
              <w:top w:val="single" w:sz="8" w:color="auto"/>
              <w:left w:val="single" w:sz="8" w:color="auto"/>
              <w:right w:val="single" w:sz="8" w:color="auto"/>
            </w:tcBorders>
            <w:gridSpan w:val="3"/>
          </w:tcPr>
          <w:p>
            <w:pPr>
              <w:ind w:left="40"/>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Item 11.</w:t>
              </w:r>
            </w:hyperlink>
          </w:p>
        </w:tc>
        <w:tc>
          <w:tcPr>
            <w:tcW w:w="480" w:type="dxa"/>
            <w:vAlign w:val="bottom"/>
            <w:tcBorders>
              <w:top w:val="single" w:sz="8" w:color="auto"/>
              <w:right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320" w:type="dxa"/>
            <w:vAlign w:val="bottom"/>
            <w:tcBorders>
              <w:top w:val="single" w:sz="8" w:color="auto"/>
              <w:right w:val="single" w:sz="8" w:color="auto"/>
            </w:tcBorders>
            <w:gridSpan w:val="9"/>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Quantitative and Qualitative Disclosures About Market Risk</w:t>
              </w:r>
            </w:hyperlink>
          </w:p>
        </w:tc>
        <w:tc>
          <w:tcPr>
            <w:tcW w:w="1400" w:type="dxa"/>
            <w:vAlign w:val="bottom"/>
            <w:tcBorders>
              <w:top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6"/>
              </w:rPr>
              <w:t>108</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600" w:type="dxa"/>
            <w:vAlign w:val="bottom"/>
            <w:tcBorders>
              <w:top w:val="single" w:sz="8" w:color="0000EE"/>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0" w:type="dxa"/>
            <w:vAlign w:val="bottom"/>
            <w:tcBorders>
              <w:top w:val="single" w:sz="8" w:color="0000EE"/>
              <w:bottom w:val="single" w:sz="8" w:color="auto"/>
            </w:tcBorders>
          </w:tcPr>
          <w:p>
            <w:pPr>
              <w:spacing w:after="0"/>
              <w:rPr>
                <w:sz w:val="4"/>
                <w:szCs w:val="4"/>
                <w:color w:val="auto"/>
              </w:rPr>
            </w:pPr>
          </w:p>
        </w:tc>
        <w:tc>
          <w:tcPr>
            <w:tcW w:w="180" w:type="dxa"/>
            <w:vAlign w:val="bottom"/>
            <w:tcBorders>
              <w:top w:val="single" w:sz="8" w:color="0000EE"/>
              <w:bottom w:val="single" w:sz="8" w:color="auto"/>
            </w:tcBorders>
          </w:tcPr>
          <w:p>
            <w:pPr>
              <w:spacing w:after="0"/>
              <w:rPr>
                <w:sz w:val="4"/>
                <w:szCs w:val="4"/>
                <w:color w:val="auto"/>
              </w:rPr>
            </w:pPr>
          </w:p>
        </w:tc>
        <w:tc>
          <w:tcPr>
            <w:tcW w:w="720" w:type="dxa"/>
            <w:vAlign w:val="bottom"/>
            <w:tcBorders>
              <w:top w:val="single" w:sz="8" w:color="0000EE"/>
              <w:bottom w:val="single" w:sz="8" w:color="auto"/>
            </w:tcBorders>
          </w:tcPr>
          <w:p>
            <w:pPr>
              <w:spacing w:after="0"/>
              <w:rPr>
                <w:sz w:val="4"/>
                <w:szCs w:val="4"/>
                <w:color w:val="auto"/>
              </w:rPr>
            </w:pPr>
          </w:p>
        </w:tc>
        <w:tc>
          <w:tcPr>
            <w:tcW w:w="260" w:type="dxa"/>
            <w:vAlign w:val="bottom"/>
            <w:tcBorders>
              <w:top w:val="single" w:sz="8" w:color="0000EE"/>
              <w:bottom w:val="single" w:sz="8" w:color="auto"/>
            </w:tcBorders>
          </w:tcPr>
          <w:p>
            <w:pPr>
              <w:spacing w:after="0"/>
              <w:rPr>
                <w:sz w:val="4"/>
                <w:szCs w:val="4"/>
                <w:color w:val="auto"/>
              </w:rPr>
            </w:pPr>
          </w:p>
        </w:tc>
        <w:tc>
          <w:tcPr>
            <w:tcW w:w="1820" w:type="dxa"/>
            <w:vAlign w:val="bottom"/>
            <w:tcBorders>
              <w:top w:val="single" w:sz="8" w:color="0000EE"/>
              <w:bottom w:val="single" w:sz="8" w:color="auto"/>
            </w:tcBorders>
          </w:tcPr>
          <w:p>
            <w:pPr>
              <w:spacing w:after="0"/>
              <w:rPr>
                <w:sz w:val="4"/>
                <w:szCs w:val="4"/>
                <w:color w:val="auto"/>
              </w:rPr>
            </w:pPr>
          </w:p>
        </w:tc>
        <w:tc>
          <w:tcPr>
            <w:tcW w:w="360" w:type="dxa"/>
            <w:vAlign w:val="bottom"/>
            <w:tcBorders>
              <w:top w:val="single" w:sz="8" w:color="0000EE"/>
              <w:bottom w:val="single" w:sz="8" w:color="auto"/>
            </w:tcBorders>
          </w:tcPr>
          <w:p>
            <w:pPr>
              <w:spacing w:after="0"/>
              <w:rPr>
                <w:sz w:val="4"/>
                <w:szCs w:val="4"/>
                <w:color w:val="auto"/>
              </w:rPr>
            </w:pPr>
          </w:p>
        </w:tc>
        <w:tc>
          <w:tcPr>
            <w:tcW w:w="420" w:type="dxa"/>
            <w:vAlign w:val="bottom"/>
            <w:tcBorders>
              <w:top w:val="single" w:sz="8" w:color="0000EE"/>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63"/>
        </w:trPr>
        <w:tc>
          <w:tcPr>
            <w:tcW w:w="1020" w:type="dxa"/>
            <w:vAlign w:val="bottom"/>
            <w:tcBorders>
              <w:left w:val="single" w:sz="8" w:color="auto"/>
              <w:bottom w:val="single" w:sz="8" w:color="auto"/>
              <w:right w:val="single" w:sz="8" w:color="auto"/>
            </w:tcBorders>
            <w:gridSpan w:val="3"/>
            <w:shd w:val="clear" w:color="auto" w:fill="CCEEFF"/>
          </w:tcPr>
          <w:p>
            <w:pPr>
              <w:ind w:left="40"/>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Item 12.</w:t>
              </w:r>
            </w:hyperlink>
          </w:p>
        </w:tc>
        <w:tc>
          <w:tcPr>
            <w:tcW w:w="480" w:type="dxa"/>
            <w:vAlign w:val="bottom"/>
            <w:tcBorders>
              <w:bottom w:val="single" w:sz="8" w:color="auto"/>
              <w:right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320" w:type="dxa"/>
            <w:vAlign w:val="bottom"/>
            <w:tcBorders>
              <w:bottom w:val="single" w:sz="8" w:color="auto"/>
              <w:right w:val="single" w:sz="8" w:color="auto"/>
            </w:tcBorders>
            <w:gridSpan w:val="9"/>
            <w:shd w:val="clear" w:color="auto" w:fill="CCEEFF"/>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Description of Securities Other Than Equity Securities</w:t>
              </w:r>
            </w:hyperlink>
          </w:p>
        </w:tc>
        <w:tc>
          <w:tcPr>
            <w:tcW w:w="140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108</w:t>
            </w:r>
          </w:p>
        </w:tc>
      </w:tr>
      <w:tr>
        <w:trPr>
          <w:trHeight w:val="237"/>
        </w:trPr>
        <w:tc>
          <w:tcPr>
            <w:tcW w:w="40" w:type="dxa"/>
            <w:vAlign w:val="bottom"/>
            <w:tcBorders>
              <w:lef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12.A.</w:t>
            </w:r>
          </w:p>
        </w:tc>
        <w:tc>
          <w:tcPr>
            <w:tcW w:w="20" w:type="dxa"/>
            <w:vAlign w:val="bottom"/>
          </w:tcPr>
          <w:p>
            <w:pPr>
              <w:spacing w:after="0"/>
              <w:rPr>
                <w:sz w:val="20"/>
                <w:szCs w:val="20"/>
                <w:color w:val="auto"/>
              </w:rPr>
            </w:pPr>
          </w:p>
        </w:tc>
        <w:tc>
          <w:tcPr>
            <w:tcW w:w="832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rPr>
              <w:t>Debt Securities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108</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68"/>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right w:val="single" w:sz="8" w:color="auto"/>
            </w:tcBorders>
            <w:shd w:val="clear" w:color="auto" w:fill="CCEEFF"/>
          </w:tcPr>
          <w:p>
            <w:pPr>
              <w:spacing w:after="0"/>
              <w:rPr>
                <w:sz w:val="22"/>
                <w:szCs w:val="22"/>
                <w:color w:val="auto"/>
              </w:rPr>
            </w:pPr>
          </w:p>
        </w:tc>
        <w:tc>
          <w:tcPr>
            <w:tcW w:w="4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12.B.</w:t>
            </w:r>
          </w:p>
        </w:tc>
        <w:tc>
          <w:tcPr>
            <w:tcW w:w="2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right w:val="single" w:sz="8" w:color="auto"/>
            </w:tcBorders>
            <w:gridSpan w:val="9"/>
            <w:shd w:val="clear" w:color="auto" w:fill="CCEEFF"/>
          </w:tcPr>
          <w:p>
            <w:pPr>
              <w:spacing w:after="0"/>
              <w:rPr>
                <w:sz w:val="20"/>
                <w:szCs w:val="20"/>
                <w:color w:val="auto"/>
              </w:rPr>
            </w:pPr>
            <w:r>
              <w:rPr>
                <w:rFonts w:ascii="Arial" w:cs="Arial" w:eastAsia="Arial" w:hAnsi="Arial"/>
                <w:sz w:val="18"/>
                <w:szCs w:val="18"/>
                <w:color w:val="auto"/>
              </w:rPr>
              <w:t>Warrants and Rights</w:t>
            </w:r>
          </w:p>
        </w:tc>
        <w:tc>
          <w:tcPr>
            <w:tcW w:w="14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108</w:t>
            </w:r>
          </w:p>
        </w:tc>
      </w:tr>
      <w:tr>
        <w:trPr>
          <w:trHeight w:val="237"/>
        </w:trPr>
        <w:tc>
          <w:tcPr>
            <w:tcW w:w="40" w:type="dxa"/>
            <w:vAlign w:val="bottom"/>
            <w:tcBorders>
              <w:top w:val="single" w:sz="8" w:color="auto"/>
              <w:left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80" w:type="dxa"/>
            <w:vAlign w:val="bottom"/>
            <w:tcBorders>
              <w:top w:val="single" w:sz="8" w:color="auto"/>
              <w:right w:val="single" w:sz="8" w:color="auto"/>
            </w:tcBorders>
          </w:tcPr>
          <w:p>
            <w:pPr>
              <w:spacing w:after="0"/>
              <w:rPr>
                <w:sz w:val="20"/>
                <w:szCs w:val="20"/>
                <w:color w:val="auto"/>
              </w:rPr>
            </w:pPr>
          </w:p>
        </w:tc>
        <w:tc>
          <w:tcPr>
            <w:tcW w:w="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7"/>
              </w:rPr>
              <w:t>12.C.</w:t>
            </w:r>
          </w:p>
        </w:tc>
        <w:tc>
          <w:tcPr>
            <w:tcW w:w="20" w:type="dxa"/>
            <w:vAlign w:val="bottom"/>
            <w:tcBorders>
              <w:top w:val="single" w:sz="8" w:color="auto"/>
            </w:tcBorders>
          </w:tcPr>
          <w:p>
            <w:pPr>
              <w:spacing w:after="0"/>
              <w:rPr>
                <w:sz w:val="20"/>
                <w:szCs w:val="20"/>
                <w:color w:val="auto"/>
              </w:rPr>
            </w:pPr>
          </w:p>
        </w:tc>
        <w:tc>
          <w:tcPr>
            <w:tcW w:w="8320" w:type="dxa"/>
            <w:vAlign w:val="bottom"/>
            <w:tcBorders>
              <w:top w:val="single" w:sz="8" w:color="auto"/>
              <w:right w:val="single" w:sz="8" w:color="auto"/>
            </w:tcBorders>
            <w:gridSpan w:val="9"/>
          </w:tcPr>
          <w:p>
            <w:pPr>
              <w:spacing w:after="0"/>
              <w:rPr>
                <w:sz w:val="20"/>
                <w:szCs w:val="20"/>
                <w:color w:val="auto"/>
              </w:rPr>
            </w:pPr>
            <w:r>
              <w:rPr>
                <w:rFonts w:ascii="Arial" w:cs="Arial" w:eastAsia="Arial" w:hAnsi="Arial"/>
                <w:sz w:val="18"/>
                <w:szCs w:val="18"/>
                <w:color w:val="auto"/>
              </w:rPr>
              <w:t>Other Securities</w:t>
            </w: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108</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68"/>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right w:val="single" w:sz="8" w:color="auto"/>
            </w:tcBorders>
            <w:shd w:val="clear" w:color="auto" w:fill="CCEEFF"/>
          </w:tcPr>
          <w:p>
            <w:pPr>
              <w:spacing w:after="0"/>
              <w:rPr>
                <w:sz w:val="22"/>
                <w:szCs w:val="22"/>
                <w:color w:val="auto"/>
              </w:rPr>
            </w:pPr>
          </w:p>
        </w:tc>
        <w:tc>
          <w:tcPr>
            <w:tcW w:w="4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7"/>
              </w:rPr>
              <w:t>12.D.</w:t>
            </w:r>
          </w:p>
        </w:tc>
        <w:tc>
          <w:tcPr>
            <w:tcW w:w="2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right w:val="single" w:sz="8" w:color="auto"/>
            </w:tcBorders>
            <w:gridSpan w:val="9"/>
            <w:shd w:val="clear" w:color="auto" w:fill="CCEEFF"/>
          </w:tcPr>
          <w:p>
            <w:pPr>
              <w:spacing w:after="0"/>
              <w:rPr>
                <w:sz w:val="20"/>
                <w:szCs w:val="20"/>
                <w:color w:val="auto"/>
              </w:rPr>
            </w:pPr>
            <w:r>
              <w:rPr>
                <w:rFonts w:ascii="Arial" w:cs="Arial" w:eastAsia="Arial" w:hAnsi="Arial"/>
                <w:sz w:val="18"/>
                <w:szCs w:val="18"/>
                <w:color w:val="auto"/>
              </w:rPr>
              <w:t>American Depositary Shares</w:t>
            </w:r>
          </w:p>
        </w:tc>
        <w:tc>
          <w:tcPr>
            <w:tcW w:w="14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109</w:t>
            </w:r>
          </w:p>
        </w:tc>
      </w:tr>
      <w:tr>
        <w:trPr>
          <w:trHeight w:val="237"/>
        </w:trPr>
        <w:tc>
          <w:tcPr>
            <w:tcW w:w="40" w:type="dxa"/>
            <w:vAlign w:val="bottom"/>
            <w:tcBorders>
              <w:top w:val="single" w:sz="8" w:color="auto"/>
              <w:left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80" w:type="dxa"/>
            <w:vAlign w:val="bottom"/>
            <w:tcBorders>
              <w:top w:val="single" w:sz="8" w:color="auto"/>
              <w:right w:val="single" w:sz="8" w:color="auto"/>
            </w:tcBorders>
          </w:tcPr>
          <w:p>
            <w:pPr>
              <w:spacing w:after="0"/>
              <w:rPr>
                <w:sz w:val="20"/>
                <w:szCs w:val="20"/>
                <w:color w:val="auto"/>
              </w:rPr>
            </w:pPr>
          </w:p>
        </w:tc>
        <w:tc>
          <w:tcPr>
            <w:tcW w:w="480" w:type="dxa"/>
            <w:vAlign w:val="bottom"/>
            <w:tcBorders>
              <w:top w:val="single" w:sz="8" w:color="auto"/>
              <w:right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4740" w:type="dxa"/>
            <w:vAlign w:val="bottom"/>
            <w:tcBorders>
              <w:top w:val="single" w:sz="8" w:color="auto"/>
              <w:right w:val="single" w:sz="8" w:color="auto"/>
            </w:tcBorders>
            <w:gridSpan w:val="4"/>
          </w:tcPr>
          <w:p>
            <w:pPr>
              <w:jc w:val="center"/>
              <w:ind w:right="3660"/>
              <w:spacing w:after="0"/>
              <w:rPr>
                <w:sz w:val="20"/>
                <w:szCs w:val="20"/>
                <w:color w:val="auto"/>
              </w:rPr>
            </w:pPr>
            <w:r>
              <w:rPr>
                <w:rFonts w:ascii="Arial" w:cs="Arial" w:eastAsia="Arial" w:hAnsi="Arial"/>
                <w:sz w:val="18"/>
                <w:szCs w:val="18"/>
                <w:color w:val="auto"/>
                <w:w w:val="95"/>
              </w:rPr>
              <w:t>PART II</w:t>
            </w:r>
          </w:p>
        </w:tc>
        <w:tc>
          <w:tcPr>
            <w:tcW w:w="1400" w:type="dxa"/>
            <w:vAlign w:val="bottom"/>
            <w:tcBorders>
              <w:top w:val="single" w:sz="8" w:color="auto"/>
              <w:right w:val="single" w:sz="8" w:color="auto"/>
            </w:tcBorders>
          </w:tcPr>
          <w:p>
            <w:pPr>
              <w:spacing w:after="0"/>
              <w:rPr>
                <w:sz w:val="20"/>
                <w:szCs w:val="20"/>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64"/>
        </w:trPr>
        <w:tc>
          <w:tcPr>
            <w:tcW w:w="1020" w:type="dxa"/>
            <w:vAlign w:val="bottom"/>
            <w:tcBorders>
              <w:left w:val="single" w:sz="8" w:color="auto"/>
              <w:bottom w:val="single" w:sz="8" w:color="auto"/>
              <w:right w:val="single" w:sz="8" w:color="auto"/>
            </w:tcBorders>
            <w:gridSpan w:val="3"/>
            <w:shd w:val="clear" w:color="auto" w:fill="CCEEFF"/>
          </w:tcPr>
          <w:p>
            <w:pPr>
              <w:ind w:left="40"/>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Item 13.</w:t>
              </w:r>
            </w:hyperlink>
          </w:p>
        </w:tc>
        <w:tc>
          <w:tcPr>
            <w:tcW w:w="480" w:type="dxa"/>
            <w:vAlign w:val="bottom"/>
            <w:tcBorders>
              <w:bottom w:val="single" w:sz="8" w:color="auto"/>
              <w:right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320" w:type="dxa"/>
            <w:vAlign w:val="bottom"/>
            <w:tcBorders>
              <w:bottom w:val="single" w:sz="8" w:color="auto"/>
              <w:right w:val="single" w:sz="8" w:color="auto"/>
            </w:tcBorders>
            <w:gridSpan w:val="9"/>
            <w:shd w:val="clear" w:color="auto" w:fill="CCEEFF"/>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Defaults, Dividend Arrearages and Delinquencies</w:t>
              </w:r>
            </w:hyperlink>
          </w:p>
        </w:tc>
        <w:tc>
          <w:tcPr>
            <w:tcW w:w="140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111</w:t>
            </w:r>
          </w:p>
        </w:tc>
      </w:tr>
      <w:tr>
        <w:trPr>
          <w:trHeight w:val="196"/>
        </w:trPr>
        <w:tc>
          <w:tcPr>
            <w:tcW w:w="1020" w:type="dxa"/>
            <w:vAlign w:val="bottom"/>
            <w:tcBorders>
              <w:left w:val="single" w:sz="8" w:color="auto"/>
              <w:right w:val="single" w:sz="8" w:color="auto"/>
            </w:tcBorders>
            <w:gridSpan w:val="3"/>
          </w:tcPr>
          <w:p>
            <w:pPr>
              <w:ind w:left="40"/>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Item 14.</w:t>
              </w:r>
            </w:hyperlink>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320" w:type="dxa"/>
            <w:vAlign w:val="bottom"/>
            <w:tcBorders>
              <w:right w:val="single" w:sz="8" w:color="auto"/>
            </w:tcBorders>
            <w:gridSpan w:val="9"/>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Material Modifications to the Rights of Security Holders and Use of Proceeds</w:t>
              </w:r>
            </w:hyperlink>
          </w:p>
        </w:tc>
        <w:tc>
          <w:tcPr>
            <w:tcW w:w="140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6"/>
              </w:rPr>
              <w:t>111</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600" w:type="dxa"/>
            <w:vAlign w:val="bottom"/>
            <w:tcBorders>
              <w:top w:val="single" w:sz="8" w:color="0000EE"/>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0" w:type="dxa"/>
            <w:vAlign w:val="bottom"/>
            <w:tcBorders>
              <w:top w:val="single" w:sz="8" w:color="0000EE"/>
              <w:bottom w:val="single" w:sz="8" w:color="auto"/>
            </w:tcBorders>
          </w:tcPr>
          <w:p>
            <w:pPr>
              <w:spacing w:after="0"/>
              <w:rPr>
                <w:sz w:val="4"/>
                <w:szCs w:val="4"/>
                <w:color w:val="auto"/>
              </w:rPr>
            </w:pPr>
          </w:p>
        </w:tc>
        <w:tc>
          <w:tcPr>
            <w:tcW w:w="180" w:type="dxa"/>
            <w:vAlign w:val="bottom"/>
            <w:tcBorders>
              <w:top w:val="single" w:sz="8" w:color="0000EE"/>
              <w:bottom w:val="single" w:sz="8" w:color="auto"/>
            </w:tcBorders>
          </w:tcPr>
          <w:p>
            <w:pPr>
              <w:spacing w:after="0"/>
              <w:rPr>
                <w:sz w:val="4"/>
                <w:szCs w:val="4"/>
                <w:color w:val="auto"/>
              </w:rPr>
            </w:pPr>
          </w:p>
        </w:tc>
        <w:tc>
          <w:tcPr>
            <w:tcW w:w="720" w:type="dxa"/>
            <w:vAlign w:val="bottom"/>
            <w:tcBorders>
              <w:top w:val="single" w:sz="8" w:color="0000EE"/>
              <w:bottom w:val="single" w:sz="8" w:color="auto"/>
            </w:tcBorders>
          </w:tcPr>
          <w:p>
            <w:pPr>
              <w:spacing w:after="0"/>
              <w:rPr>
                <w:sz w:val="4"/>
                <w:szCs w:val="4"/>
                <w:color w:val="auto"/>
              </w:rPr>
            </w:pPr>
          </w:p>
        </w:tc>
        <w:tc>
          <w:tcPr>
            <w:tcW w:w="260" w:type="dxa"/>
            <w:vAlign w:val="bottom"/>
            <w:tcBorders>
              <w:top w:val="single" w:sz="8" w:color="0000EE"/>
              <w:bottom w:val="single" w:sz="8" w:color="auto"/>
            </w:tcBorders>
          </w:tcPr>
          <w:p>
            <w:pPr>
              <w:spacing w:after="0"/>
              <w:rPr>
                <w:sz w:val="4"/>
                <w:szCs w:val="4"/>
                <w:color w:val="auto"/>
              </w:rPr>
            </w:pPr>
          </w:p>
        </w:tc>
        <w:tc>
          <w:tcPr>
            <w:tcW w:w="1820" w:type="dxa"/>
            <w:vAlign w:val="bottom"/>
            <w:tcBorders>
              <w:top w:val="single" w:sz="8" w:color="0000EE"/>
              <w:bottom w:val="single" w:sz="8" w:color="auto"/>
            </w:tcBorders>
          </w:tcPr>
          <w:p>
            <w:pPr>
              <w:spacing w:after="0"/>
              <w:rPr>
                <w:sz w:val="4"/>
                <w:szCs w:val="4"/>
                <w:color w:val="auto"/>
              </w:rPr>
            </w:pPr>
          </w:p>
        </w:tc>
        <w:tc>
          <w:tcPr>
            <w:tcW w:w="360" w:type="dxa"/>
            <w:vAlign w:val="bottom"/>
            <w:tcBorders>
              <w:top w:val="single" w:sz="8" w:color="0000EE"/>
              <w:bottom w:val="single" w:sz="8" w:color="auto"/>
            </w:tcBorders>
          </w:tcPr>
          <w:p>
            <w:pPr>
              <w:spacing w:after="0"/>
              <w:rPr>
                <w:sz w:val="4"/>
                <w:szCs w:val="4"/>
                <w:color w:val="auto"/>
              </w:rPr>
            </w:pPr>
          </w:p>
        </w:tc>
        <w:tc>
          <w:tcPr>
            <w:tcW w:w="420" w:type="dxa"/>
            <w:vAlign w:val="bottom"/>
            <w:tcBorders>
              <w:top w:val="single" w:sz="8" w:color="0000EE"/>
              <w:bottom w:val="single" w:sz="8" w:color="auto"/>
            </w:tcBorders>
          </w:tcPr>
          <w:p>
            <w:pPr>
              <w:spacing w:after="0"/>
              <w:rPr>
                <w:sz w:val="4"/>
                <w:szCs w:val="4"/>
                <w:color w:val="auto"/>
              </w:rPr>
            </w:pPr>
          </w:p>
        </w:tc>
        <w:tc>
          <w:tcPr>
            <w:tcW w:w="1240" w:type="dxa"/>
            <w:vAlign w:val="bottom"/>
            <w:tcBorders>
              <w:top w:val="single" w:sz="8" w:color="0000EE"/>
              <w:bottom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63"/>
        </w:trPr>
        <w:tc>
          <w:tcPr>
            <w:tcW w:w="1020" w:type="dxa"/>
            <w:vAlign w:val="bottom"/>
            <w:tcBorders>
              <w:left w:val="single" w:sz="8" w:color="auto"/>
              <w:bottom w:val="single" w:sz="8" w:color="auto"/>
              <w:right w:val="single" w:sz="8" w:color="auto"/>
            </w:tcBorders>
            <w:gridSpan w:val="3"/>
            <w:shd w:val="clear" w:color="auto" w:fill="CCEEFF"/>
          </w:tcPr>
          <w:p>
            <w:pPr>
              <w:ind w:left="40"/>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Item 15.</w:t>
              </w:r>
            </w:hyperlink>
          </w:p>
        </w:tc>
        <w:tc>
          <w:tcPr>
            <w:tcW w:w="480" w:type="dxa"/>
            <w:vAlign w:val="bottom"/>
            <w:tcBorders>
              <w:bottom w:val="single" w:sz="8" w:color="auto"/>
              <w:right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320" w:type="dxa"/>
            <w:vAlign w:val="bottom"/>
            <w:tcBorders>
              <w:bottom w:val="single" w:sz="8" w:color="auto"/>
              <w:right w:val="single" w:sz="8" w:color="auto"/>
            </w:tcBorders>
            <w:gridSpan w:val="9"/>
            <w:shd w:val="clear" w:color="auto" w:fill="CCEEFF"/>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Controls and Procedures</w:t>
              </w:r>
            </w:hyperlink>
          </w:p>
        </w:tc>
        <w:tc>
          <w:tcPr>
            <w:tcW w:w="140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111</w:t>
            </w:r>
          </w:p>
        </w:tc>
      </w:tr>
      <w:tr>
        <w:trPr>
          <w:trHeight w:val="196"/>
        </w:trPr>
        <w:tc>
          <w:tcPr>
            <w:tcW w:w="1020" w:type="dxa"/>
            <w:vAlign w:val="bottom"/>
            <w:tcBorders>
              <w:left w:val="single" w:sz="8" w:color="auto"/>
              <w:right w:val="single" w:sz="8" w:color="auto"/>
            </w:tcBorders>
            <w:gridSpan w:val="3"/>
          </w:tcPr>
          <w:p>
            <w:pPr>
              <w:ind w:left="40"/>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Item 16.</w:t>
              </w:r>
            </w:hyperlink>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320" w:type="dxa"/>
            <w:vAlign w:val="bottom"/>
            <w:tcBorders>
              <w:right w:val="single" w:sz="8" w:color="auto"/>
            </w:tcBorders>
            <w:gridSpan w:val="9"/>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[Reserved]</w:t>
              </w:r>
            </w:hyperlink>
          </w:p>
        </w:tc>
        <w:tc>
          <w:tcPr>
            <w:tcW w:w="140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6"/>
              </w:rPr>
              <w:t>112</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600" w:type="dxa"/>
            <w:vAlign w:val="bottom"/>
            <w:tcBorders>
              <w:top w:val="single" w:sz="8" w:color="0000EE"/>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0" w:type="dxa"/>
            <w:vAlign w:val="bottom"/>
            <w:tcBorders>
              <w:top w:val="single" w:sz="8" w:color="0000EE"/>
              <w:bottom w:val="single" w:sz="8" w:color="auto"/>
            </w:tcBorders>
          </w:tcPr>
          <w:p>
            <w:pPr>
              <w:spacing w:after="0"/>
              <w:rPr>
                <w:sz w:val="4"/>
                <w:szCs w:val="4"/>
                <w:color w:val="auto"/>
              </w:rPr>
            </w:pPr>
          </w:p>
        </w:tc>
        <w:tc>
          <w:tcPr>
            <w:tcW w:w="180" w:type="dxa"/>
            <w:vAlign w:val="bottom"/>
            <w:tcBorders>
              <w:top w:val="single" w:sz="8" w:color="0000EE"/>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68"/>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right w:val="single" w:sz="8" w:color="auto"/>
            </w:tcBorders>
            <w:shd w:val="clear" w:color="auto" w:fill="CCEEFF"/>
          </w:tcPr>
          <w:p>
            <w:pPr>
              <w:spacing w:after="0"/>
              <w:rPr>
                <w:sz w:val="22"/>
                <w:szCs w:val="22"/>
                <w:color w:val="auto"/>
              </w:rPr>
            </w:pPr>
          </w:p>
        </w:tc>
        <w:tc>
          <w:tcPr>
            <w:tcW w:w="4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16.A.</w:t>
            </w:r>
          </w:p>
        </w:tc>
        <w:tc>
          <w:tcPr>
            <w:tcW w:w="2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right w:val="single" w:sz="8" w:color="auto"/>
            </w:tcBorders>
            <w:gridSpan w:val="9"/>
            <w:shd w:val="clear" w:color="auto" w:fill="CCEEFF"/>
          </w:tcPr>
          <w:p>
            <w:pPr>
              <w:spacing w:after="0"/>
              <w:rPr>
                <w:sz w:val="20"/>
                <w:szCs w:val="20"/>
                <w:color w:val="auto"/>
              </w:rPr>
            </w:pPr>
            <w:r>
              <w:rPr>
                <w:rFonts w:ascii="Arial" w:cs="Arial" w:eastAsia="Arial" w:hAnsi="Arial"/>
                <w:sz w:val="18"/>
                <w:szCs w:val="18"/>
                <w:color w:val="auto"/>
              </w:rPr>
              <w:t>Audit Committee and Financial Expert</w:t>
            </w:r>
          </w:p>
        </w:tc>
        <w:tc>
          <w:tcPr>
            <w:tcW w:w="14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112</w:t>
            </w:r>
          </w:p>
        </w:tc>
      </w:tr>
      <w:tr>
        <w:trPr>
          <w:trHeight w:val="237"/>
        </w:trPr>
        <w:tc>
          <w:tcPr>
            <w:tcW w:w="40" w:type="dxa"/>
            <w:vAlign w:val="bottom"/>
            <w:tcBorders>
              <w:top w:val="single" w:sz="8" w:color="auto"/>
              <w:left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80" w:type="dxa"/>
            <w:vAlign w:val="bottom"/>
            <w:tcBorders>
              <w:top w:val="single" w:sz="8" w:color="auto"/>
              <w:right w:val="single" w:sz="8" w:color="auto"/>
            </w:tcBorders>
          </w:tcPr>
          <w:p>
            <w:pPr>
              <w:spacing w:after="0"/>
              <w:rPr>
                <w:sz w:val="20"/>
                <w:szCs w:val="20"/>
                <w:color w:val="auto"/>
              </w:rPr>
            </w:pPr>
          </w:p>
        </w:tc>
        <w:tc>
          <w:tcPr>
            <w:tcW w:w="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16.B.</w:t>
            </w:r>
          </w:p>
        </w:tc>
        <w:tc>
          <w:tcPr>
            <w:tcW w:w="20" w:type="dxa"/>
            <w:vAlign w:val="bottom"/>
            <w:tcBorders>
              <w:top w:val="single" w:sz="8" w:color="auto"/>
            </w:tcBorders>
          </w:tcPr>
          <w:p>
            <w:pPr>
              <w:spacing w:after="0"/>
              <w:rPr>
                <w:sz w:val="20"/>
                <w:szCs w:val="20"/>
                <w:color w:val="auto"/>
              </w:rPr>
            </w:pPr>
          </w:p>
        </w:tc>
        <w:tc>
          <w:tcPr>
            <w:tcW w:w="8320" w:type="dxa"/>
            <w:vAlign w:val="bottom"/>
            <w:tcBorders>
              <w:top w:val="single" w:sz="8" w:color="auto"/>
              <w:right w:val="single" w:sz="8" w:color="auto"/>
            </w:tcBorders>
            <w:gridSpan w:val="9"/>
          </w:tcPr>
          <w:p>
            <w:pPr>
              <w:spacing w:after="0"/>
              <w:rPr>
                <w:sz w:val="20"/>
                <w:szCs w:val="20"/>
                <w:color w:val="auto"/>
              </w:rPr>
            </w:pPr>
            <w:r>
              <w:rPr>
                <w:rFonts w:ascii="Arial" w:cs="Arial" w:eastAsia="Arial" w:hAnsi="Arial"/>
                <w:sz w:val="18"/>
                <w:szCs w:val="18"/>
                <w:color w:val="auto"/>
              </w:rPr>
              <w:t>Code of Ethics</w:t>
            </w: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112</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69"/>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right w:val="single" w:sz="8" w:color="auto"/>
            </w:tcBorders>
            <w:shd w:val="clear" w:color="auto" w:fill="CCEEFF"/>
          </w:tcPr>
          <w:p>
            <w:pPr>
              <w:spacing w:after="0"/>
              <w:rPr>
                <w:sz w:val="22"/>
                <w:szCs w:val="22"/>
                <w:color w:val="auto"/>
              </w:rPr>
            </w:pPr>
          </w:p>
        </w:tc>
        <w:tc>
          <w:tcPr>
            <w:tcW w:w="4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7"/>
              </w:rPr>
              <w:t>16.C.</w:t>
            </w:r>
          </w:p>
        </w:tc>
        <w:tc>
          <w:tcPr>
            <w:tcW w:w="2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right w:val="single" w:sz="8" w:color="auto"/>
            </w:tcBorders>
            <w:gridSpan w:val="9"/>
            <w:shd w:val="clear" w:color="auto" w:fill="CCEEFF"/>
          </w:tcPr>
          <w:p>
            <w:pPr>
              <w:spacing w:after="0"/>
              <w:rPr>
                <w:sz w:val="20"/>
                <w:szCs w:val="20"/>
                <w:color w:val="auto"/>
              </w:rPr>
            </w:pPr>
            <w:r>
              <w:rPr>
                <w:rFonts w:ascii="Arial" w:cs="Arial" w:eastAsia="Arial" w:hAnsi="Arial"/>
                <w:sz w:val="18"/>
                <w:szCs w:val="18"/>
                <w:color w:val="auto"/>
              </w:rPr>
              <w:t>Principal Accountant Fees and Services</w:t>
            </w:r>
          </w:p>
        </w:tc>
        <w:tc>
          <w:tcPr>
            <w:tcW w:w="14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113</w:t>
            </w:r>
          </w:p>
        </w:tc>
      </w:tr>
      <w:tr>
        <w:trPr>
          <w:trHeight w:val="237"/>
        </w:trPr>
        <w:tc>
          <w:tcPr>
            <w:tcW w:w="40" w:type="dxa"/>
            <w:vAlign w:val="bottom"/>
            <w:tcBorders>
              <w:top w:val="single" w:sz="8" w:color="auto"/>
              <w:left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80" w:type="dxa"/>
            <w:vAlign w:val="bottom"/>
            <w:tcBorders>
              <w:top w:val="single" w:sz="8" w:color="auto"/>
              <w:right w:val="single" w:sz="8" w:color="auto"/>
            </w:tcBorders>
          </w:tcPr>
          <w:p>
            <w:pPr>
              <w:spacing w:after="0"/>
              <w:rPr>
                <w:sz w:val="20"/>
                <w:szCs w:val="20"/>
                <w:color w:val="auto"/>
              </w:rPr>
            </w:pPr>
          </w:p>
        </w:tc>
        <w:tc>
          <w:tcPr>
            <w:tcW w:w="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7"/>
              </w:rPr>
              <w:t>16.D.</w:t>
            </w:r>
          </w:p>
        </w:tc>
        <w:tc>
          <w:tcPr>
            <w:tcW w:w="20" w:type="dxa"/>
            <w:vAlign w:val="bottom"/>
            <w:tcBorders>
              <w:top w:val="single" w:sz="8" w:color="auto"/>
            </w:tcBorders>
          </w:tcPr>
          <w:p>
            <w:pPr>
              <w:spacing w:after="0"/>
              <w:rPr>
                <w:sz w:val="20"/>
                <w:szCs w:val="20"/>
                <w:color w:val="auto"/>
              </w:rPr>
            </w:pPr>
          </w:p>
        </w:tc>
        <w:tc>
          <w:tcPr>
            <w:tcW w:w="8320" w:type="dxa"/>
            <w:vAlign w:val="bottom"/>
            <w:tcBorders>
              <w:top w:val="single" w:sz="8" w:color="auto"/>
              <w:right w:val="single" w:sz="8" w:color="auto"/>
            </w:tcBorders>
            <w:gridSpan w:val="9"/>
          </w:tcPr>
          <w:p>
            <w:pPr>
              <w:spacing w:after="0"/>
              <w:rPr>
                <w:sz w:val="20"/>
                <w:szCs w:val="20"/>
                <w:color w:val="auto"/>
              </w:rPr>
            </w:pPr>
            <w:r>
              <w:rPr>
                <w:rFonts w:ascii="Arial" w:cs="Arial" w:eastAsia="Arial" w:hAnsi="Arial"/>
                <w:sz w:val="18"/>
                <w:szCs w:val="18"/>
                <w:color w:val="auto"/>
              </w:rPr>
              <w:t>Exemptions from the Listing Standards for Audit Committees</w:t>
            </w: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113</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69"/>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right w:val="single" w:sz="8" w:color="auto"/>
            </w:tcBorders>
            <w:shd w:val="clear" w:color="auto" w:fill="CCEEFF"/>
          </w:tcPr>
          <w:p>
            <w:pPr>
              <w:spacing w:after="0"/>
              <w:rPr>
                <w:sz w:val="22"/>
                <w:szCs w:val="22"/>
                <w:color w:val="auto"/>
              </w:rPr>
            </w:pPr>
          </w:p>
        </w:tc>
        <w:tc>
          <w:tcPr>
            <w:tcW w:w="4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16.E.</w:t>
            </w:r>
          </w:p>
        </w:tc>
        <w:tc>
          <w:tcPr>
            <w:tcW w:w="2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right w:val="single" w:sz="8" w:color="auto"/>
            </w:tcBorders>
            <w:gridSpan w:val="9"/>
            <w:shd w:val="clear" w:color="auto" w:fill="CCEEFF"/>
          </w:tcPr>
          <w:p>
            <w:pPr>
              <w:spacing w:after="0"/>
              <w:rPr>
                <w:sz w:val="20"/>
                <w:szCs w:val="20"/>
                <w:color w:val="auto"/>
              </w:rPr>
            </w:pPr>
            <w:r>
              <w:rPr>
                <w:rFonts w:ascii="Arial" w:cs="Arial" w:eastAsia="Arial" w:hAnsi="Arial"/>
                <w:sz w:val="18"/>
                <w:szCs w:val="18"/>
                <w:color w:val="auto"/>
              </w:rPr>
              <w:t>Purchases of Equity Securities by the Issuer and Affiliated Purchasers</w:t>
            </w:r>
          </w:p>
        </w:tc>
        <w:tc>
          <w:tcPr>
            <w:tcW w:w="14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114</w:t>
            </w:r>
          </w:p>
        </w:tc>
      </w:tr>
      <w:tr>
        <w:trPr>
          <w:trHeight w:val="237"/>
        </w:trPr>
        <w:tc>
          <w:tcPr>
            <w:tcW w:w="40" w:type="dxa"/>
            <w:vAlign w:val="bottom"/>
            <w:tcBorders>
              <w:top w:val="single" w:sz="8" w:color="auto"/>
              <w:left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80" w:type="dxa"/>
            <w:vAlign w:val="bottom"/>
            <w:tcBorders>
              <w:top w:val="single" w:sz="8" w:color="auto"/>
              <w:right w:val="single" w:sz="8" w:color="auto"/>
            </w:tcBorders>
          </w:tcPr>
          <w:p>
            <w:pPr>
              <w:spacing w:after="0"/>
              <w:rPr>
                <w:sz w:val="20"/>
                <w:szCs w:val="20"/>
                <w:color w:val="auto"/>
              </w:rPr>
            </w:pPr>
          </w:p>
        </w:tc>
        <w:tc>
          <w:tcPr>
            <w:tcW w:w="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16.F.</w:t>
            </w:r>
          </w:p>
        </w:tc>
        <w:tc>
          <w:tcPr>
            <w:tcW w:w="20" w:type="dxa"/>
            <w:vAlign w:val="bottom"/>
            <w:tcBorders>
              <w:top w:val="single" w:sz="8" w:color="auto"/>
            </w:tcBorders>
          </w:tcPr>
          <w:p>
            <w:pPr>
              <w:spacing w:after="0"/>
              <w:rPr>
                <w:sz w:val="20"/>
                <w:szCs w:val="20"/>
                <w:color w:val="auto"/>
              </w:rPr>
            </w:pPr>
          </w:p>
        </w:tc>
        <w:tc>
          <w:tcPr>
            <w:tcW w:w="8320" w:type="dxa"/>
            <w:vAlign w:val="bottom"/>
            <w:tcBorders>
              <w:top w:val="single" w:sz="8" w:color="auto"/>
              <w:right w:val="single" w:sz="8" w:color="auto"/>
            </w:tcBorders>
            <w:gridSpan w:val="9"/>
          </w:tcPr>
          <w:p>
            <w:pPr>
              <w:spacing w:after="0"/>
              <w:rPr>
                <w:sz w:val="20"/>
                <w:szCs w:val="20"/>
                <w:color w:val="auto"/>
              </w:rPr>
            </w:pPr>
            <w:r>
              <w:rPr>
                <w:rFonts w:ascii="Arial" w:cs="Arial" w:eastAsia="Arial" w:hAnsi="Arial"/>
                <w:sz w:val="18"/>
                <w:szCs w:val="18"/>
                <w:color w:val="auto"/>
              </w:rPr>
              <w:t>Change in Registrant’s Certifying Accountant</w:t>
            </w: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115</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69"/>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right w:val="single" w:sz="8" w:color="auto"/>
            </w:tcBorders>
            <w:shd w:val="clear" w:color="auto" w:fill="CCEEFF"/>
          </w:tcPr>
          <w:p>
            <w:pPr>
              <w:spacing w:after="0"/>
              <w:rPr>
                <w:sz w:val="22"/>
                <w:szCs w:val="22"/>
                <w:color w:val="auto"/>
              </w:rPr>
            </w:pPr>
          </w:p>
        </w:tc>
        <w:tc>
          <w:tcPr>
            <w:tcW w:w="4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5"/>
              </w:rPr>
              <w:t>16.G.</w:t>
            </w:r>
          </w:p>
        </w:tc>
        <w:tc>
          <w:tcPr>
            <w:tcW w:w="2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right w:val="single" w:sz="8" w:color="auto"/>
            </w:tcBorders>
            <w:gridSpan w:val="9"/>
            <w:shd w:val="clear" w:color="auto" w:fill="CCEEFF"/>
          </w:tcPr>
          <w:p>
            <w:pPr>
              <w:spacing w:after="0"/>
              <w:rPr>
                <w:sz w:val="20"/>
                <w:szCs w:val="20"/>
                <w:color w:val="auto"/>
              </w:rPr>
            </w:pPr>
            <w:r>
              <w:rPr>
                <w:rFonts w:ascii="Arial" w:cs="Arial" w:eastAsia="Arial" w:hAnsi="Arial"/>
                <w:sz w:val="18"/>
                <w:szCs w:val="18"/>
                <w:color w:val="auto"/>
              </w:rPr>
              <w:t>Corporate Governance</w:t>
            </w:r>
          </w:p>
        </w:tc>
        <w:tc>
          <w:tcPr>
            <w:tcW w:w="14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115</w:t>
            </w:r>
          </w:p>
        </w:tc>
      </w:tr>
      <w:tr>
        <w:trPr>
          <w:trHeight w:val="236"/>
        </w:trPr>
        <w:tc>
          <w:tcPr>
            <w:tcW w:w="40" w:type="dxa"/>
            <w:vAlign w:val="bottom"/>
            <w:tcBorders>
              <w:top w:val="single" w:sz="8" w:color="auto"/>
              <w:left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80" w:type="dxa"/>
            <w:vAlign w:val="bottom"/>
            <w:tcBorders>
              <w:top w:val="single" w:sz="8" w:color="auto"/>
              <w:right w:val="single" w:sz="8" w:color="auto"/>
            </w:tcBorders>
          </w:tcPr>
          <w:p>
            <w:pPr>
              <w:spacing w:after="0"/>
              <w:rPr>
                <w:sz w:val="20"/>
                <w:szCs w:val="20"/>
                <w:color w:val="auto"/>
              </w:rPr>
            </w:pPr>
          </w:p>
        </w:tc>
        <w:tc>
          <w:tcPr>
            <w:tcW w:w="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7"/>
              </w:rPr>
              <w:t>16.H.</w:t>
            </w:r>
          </w:p>
        </w:tc>
        <w:tc>
          <w:tcPr>
            <w:tcW w:w="20" w:type="dxa"/>
            <w:vAlign w:val="bottom"/>
            <w:tcBorders>
              <w:top w:val="single" w:sz="8" w:color="auto"/>
            </w:tcBorders>
          </w:tcPr>
          <w:p>
            <w:pPr>
              <w:spacing w:after="0"/>
              <w:rPr>
                <w:sz w:val="20"/>
                <w:szCs w:val="20"/>
                <w:color w:val="auto"/>
              </w:rPr>
            </w:pPr>
          </w:p>
        </w:tc>
        <w:tc>
          <w:tcPr>
            <w:tcW w:w="8320" w:type="dxa"/>
            <w:vAlign w:val="bottom"/>
            <w:tcBorders>
              <w:top w:val="single" w:sz="8" w:color="auto"/>
              <w:right w:val="single" w:sz="8" w:color="auto"/>
            </w:tcBorders>
            <w:gridSpan w:val="9"/>
          </w:tcPr>
          <w:p>
            <w:pPr>
              <w:spacing w:after="0"/>
              <w:rPr>
                <w:sz w:val="20"/>
                <w:szCs w:val="20"/>
                <w:color w:val="auto"/>
              </w:rPr>
            </w:pPr>
            <w:r>
              <w:rPr>
                <w:rFonts w:ascii="Arial" w:cs="Arial" w:eastAsia="Arial" w:hAnsi="Arial"/>
                <w:sz w:val="18"/>
                <w:szCs w:val="18"/>
                <w:color w:val="auto"/>
              </w:rPr>
              <w:t>Mine Safety Disclosure</w:t>
            </w: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115</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68"/>
        </w:trPr>
        <w:tc>
          <w:tcPr>
            <w:tcW w:w="40" w:type="dxa"/>
            <w:vAlign w:val="bottom"/>
            <w:tcBorders>
              <w:left w:val="single" w:sz="8" w:color="auto"/>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right w:val="single" w:sz="8" w:color="auto"/>
            </w:tcBorders>
            <w:shd w:val="clear" w:color="auto" w:fill="CCEEFF"/>
          </w:tcPr>
          <w:p>
            <w:pPr>
              <w:spacing w:after="0"/>
              <w:rPr>
                <w:sz w:val="22"/>
                <w:szCs w:val="22"/>
                <w:color w:val="auto"/>
              </w:rPr>
            </w:pPr>
          </w:p>
        </w:tc>
        <w:tc>
          <w:tcPr>
            <w:tcW w:w="4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16.I</w:t>
            </w:r>
          </w:p>
        </w:tc>
        <w:tc>
          <w:tcPr>
            <w:tcW w:w="2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right w:val="single" w:sz="8" w:color="auto"/>
            </w:tcBorders>
            <w:gridSpan w:val="9"/>
            <w:shd w:val="clear" w:color="auto" w:fill="CCEEFF"/>
          </w:tcPr>
          <w:p>
            <w:pPr>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14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115</w:t>
            </w:r>
          </w:p>
        </w:tc>
      </w:tr>
      <w:tr>
        <w:trPr>
          <w:trHeight w:val="196"/>
        </w:trPr>
        <w:tc>
          <w:tcPr>
            <w:tcW w:w="1020" w:type="dxa"/>
            <w:vAlign w:val="bottom"/>
            <w:tcBorders>
              <w:top w:val="single" w:sz="8" w:color="auto"/>
              <w:left w:val="single" w:sz="8" w:color="auto"/>
              <w:right w:val="single" w:sz="8" w:color="auto"/>
            </w:tcBorders>
            <w:gridSpan w:val="3"/>
          </w:tcPr>
          <w:p>
            <w:pPr>
              <w:ind w:left="40"/>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Item 17.</w:t>
              </w:r>
            </w:hyperlink>
          </w:p>
        </w:tc>
        <w:tc>
          <w:tcPr>
            <w:tcW w:w="480" w:type="dxa"/>
            <w:vAlign w:val="bottom"/>
            <w:tcBorders>
              <w:top w:val="single" w:sz="8" w:color="auto"/>
              <w:right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320" w:type="dxa"/>
            <w:vAlign w:val="bottom"/>
            <w:tcBorders>
              <w:top w:val="single" w:sz="8" w:color="auto"/>
              <w:right w:val="single" w:sz="8" w:color="auto"/>
            </w:tcBorders>
            <w:gridSpan w:val="9"/>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Financial Statements</w:t>
              </w:r>
            </w:hyperlink>
          </w:p>
        </w:tc>
        <w:tc>
          <w:tcPr>
            <w:tcW w:w="1400" w:type="dxa"/>
            <w:vAlign w:val="bottom"/>
            <w:tcBorders>
              <w:top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6"/>
              </w:rPr>
              <w:t>115</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600" w:type="dxa"/>
            <w:vAlign w:val="bottom"/>
            <w:tcBorders>
              <w:top w:val="single" w:sz="8" w:color="0000EE"/>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0" w:type="dxa"/>
            <w:vAlign w:val="bottom"/>
            <w:tcBorders>
              <w:top w:val="single" w:sz="8" w:color="0000EE"/>
              <w:bottom w:val="single" w:sz="8" w:color="auto"/>
            </w:tcBorders>
          </w:tcPr>
          <w:p>
            <w:pPr>
              <w:spacing w:after="0"/>
              <w:rPr>
                <w:sz w:val="4"/>
                <w:szCs w:val="4"/>
                <w:color w:val="auto"/>
              </w:rPr>
            </w:pPr>
          </w:p>
        </w:tc>
        <w:tc>
          <w:tcPr>
            <w:tcW w:w="180" w:type="dxa"/>
            <w:vAlign w:val="bottom"/>
            <w:tcBorders>
              <w:top w:val="single" w:sz="8" w:color="0000EE"/>
              <w:bottom w:val="single" w:sz="8" w:color="auto"/>
            </w:tcBorders>
          </w:tcPr>
          <w:p>
            <w:pPr>
              <w:spacing w:after="0"/>
              <w:rPr>
                <w:sz w:val="4"/>
                <w:szCs w:val="4"/>
                <w:color w:val="auto"/>
              </w:rPr>
            </w:pPr>
          </w:p>
        </w:tc>
        <w:tc>
          <w:tcPr>
            <w:tcW w:w="720" w:type="dxa"/>
            <w:vAlign w:val="bottom"/>
            <w:tcBorders>
              <w:top w:val="single" w:sz="8" w:color="0000EE"/>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72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63"/>
        </w:trPr>
        <w:tc>
          <w:tcPr>
            <w:tcW w:w="1020" w:type="dxa"/>
            <w:vAlign w:val="bottom"/>
            <w:tcBorders>
              <w:left w:val="single" w:sz="8" w:color="auto"/>
              <w:bottom w:val="single" w:sz="8" w:color="auto"/>
              <w:right w:val="single" w:sz="8" w:color="auto"/>
            </w:tcBorders>
            <w:gridSpan w:val="3"/>
            <w:shd w:val="clear" w:color="auto" w:fill="CCEEFF"/>
          </w:tcPr>
          <w:p>
            <w:pPr>
              <w:ind w:left="40"/>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Item 18.</w:t>
              </w:r>
            </w:hyperlink>
          </w:p>
        </w:tc>
        <w:tc>
          <w:tcPr>
            <w:tcW w:w="480" w:type="dxa"/>
            <w:vAlign w:val="bottom"/>
            <w:tcBorders>
              <w:bottom w:val="single" w:sz="8" w:color="auto"/>
              <w:right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320" w:type="dxa"/>
            <w:vAlign w:val="bottom"/>
            <w:tcBorders>
              <w:bottom w:val="single" w:sz="8" w:color="auto"/>
              <w:right w:val="single" w:sz="8" w:color="auto"/>
            </w:tcBorders>
            <w:gridSpan w:val="9"/>
            <w:shd w:val="clear" w:color="auto" w:fill="CCEEFF"/>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Financial Statements</w:t>
              </w:r>
            </w:hyperlink>
          </w:p>
        </w:tc>
        <w:tc>
          <w:tcPr>
            <w:tcW w:w="1400" w:type="dxa"/>
            <w:vAlign w:val="bottom"/>
            <w:tcBorders>
              <w:bottom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115</w:t>
            </w:r>
          </w:p>
        </w:tc>
      </w:tr>
      <w:tr>
        <w:trPr>
          <w:trHeight w:val="196"/>
        </w:trPr>
        <w:tc>
          <w:tcPr>
            <w:tcW w:w="1020" w:type="dxa"/>
            <w:vAlign w:val="bottom"/>
            <w:tcBorders>
              <w:left w:val="single" w:sz="8" w:color="auto"/>
              <w:right w:val="single" w:sz="8" w:color="auto"/>
            </w:tcBorders>
            <w:gridSpan w:val="3"/>
          </w:tcPr>
          <w:p>
            <w:pPr>
              <w:ind w:left="40"/>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Item 19.</w:t>
              </w:r>
            </w:hyperlink>
          </w:p>
        </w:tc>
        <w:tc>
          <w:tcPr>
            <w:tcW w:w="4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320" w:type="dxa"/>
            <w:vAlign w:val="bottom"/>
            <w:tcBorders>
              <w:right w:val="single" w:sz="8" w:color="auto"/>
            </w:tcBorders>
            <w:gridSpan w:val="9"/>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Exhibits</w:t>
              </w:r>
            </w:hyperlink>
          </w:p>
        </w:tc>
        <w:tc>
          <w:tcPr>
            <w:tcW w:w="140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6"/>
              </w:rPr>
              <w:t>116</w:t>
            </w:r>
          </w:p>
        </w:tc>
      </w:tr>
      <w:tr>
        <w:trPr>
          <w:trHeight w:val="44"/>
        </w:trPr>
        <w:tc>
          <w:tcPr>
            <w:tcW w:w="40" w:type="dxa"/>
            <w:vAlign w:val="bottom"/>
            <w:tcBorders>
              <w:left w:val="single" w:sz="8" w:color="auto"/>
              <w:bottom w:val="single" w:sz="8" w:color="auto"/>
            </w:tcBorders>
          </w:tcPr>
          <w:p>
            <w:pPr>
              <w:spacing w:after="0"/>
              <w:rPr>
                <w:sz w:val="3"/>
                <w:szCs w:val="3"/>
                <w:color w:val="auto"/>
              </w:rPr>
            </w:pPr>
          </w:p>
        </w:tc>
        <w:tc>
          <w:tcPr>
            <w:tcW w:w="600" w:type="dxa"/>
            <w:vAlign w:val="bottom"/>
            <w:tcBorders>
              <w:top w:val="single" w:sz="8" w:color="0000EE"/>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0" w:type="dxa"/>
            <w:vAlign w:val="bottom"/>
            <w:tcBorders>
              <w:top w:val="single" w:sz="8" w:color="0000EE"/>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72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r>
      <w:tr>
        <w:trPr>
          <w:trHeight w:val="289"/>
        </w:trPr>
        <w:tc>
          <w:tcPr>
            <w:tcW w:w="40" w:type="dxa"/>
            <w:vAlign w:val="bottom"/>
            <w:tcBorders>
              <w:left w:val="single" w:sz="8" w:color="auto"/>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right w:val="single" w:sz="8" w:color="auto"/>
            </w:tcBorders>
            <w:shd w:val="clear" w:color="auto" w:fill="CCEEFF"/>
          </w:tcPr>
          <w:p>
            <w:pPr>
              <w:spacing w:after="0"/>
              <w:rPr>
                <w:sz w:val="24"/>
                <w:szCs w:val="24"/>
                <w:color w:val="auto"/>
              </w:rPr>
            </w:pPr>
          </w:p>
        </w:tc>
        <w:tc>
          <w:tcPr>
            <w:tcW w:w="480" w:type="dxa"/>
            <w:vAlign w:val="bottom"/>
            <w:tcBorders>
              <w:bottom w:val="single" w:sz="8" w:color="CCEEFF"/>
              <w:right w:val="single" w:sz="8" w:color="auto"/>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320" w:type="dxa"/>
            <w:vAlign w:val="bottom"/>
            <w:tcBorders>
              <w:bottom w:val="single" w:sz="8" w:color="CCEEFF"/>
              <w:right w:val="single" w:sz="8" w:color="auto"/>
            </w:tcBorders>
            <w:gridSpan w:val="9"/>
            <w:shd w:val="clear" w:color="auto" w:fill="CCEEFF"/>
          </w:tcPr>
          <w:p>
            <w:pPr>
              <w:spacing w:after="0"/>
              <w:rPr>
                <w:sz w:val="20"/>
                <w:szCs w:val="20"/>
                <w:color w:val="auto"/>
              </w:rPr>
            </w:pPr>
            <w:r>
              <w:rPr>
                <w:rFonts w:ascii="Arial" w:cs="Arial" w:eastAsia="Arial" w:hAnsi="Arial"/>
                <w:sz w:val="18"/>
                <w:szCs w:val="18"/>
                <w:color w:val="auto"/>
              </w:rPr>
              <w:t>Index to Financial Statements</w:t>
            </w:r>
          </w:p>
        </w:tc>
        <w:tc>
          <w:tcPr>
            <w:tcW w:w="1400" w:type="dxa"/>
            <w:vAlign w:val="bottom"/>
            <w:tcBorders>
              <w:bottom w:val="single" w:sz="8" w:color="CCEEFF"/>
              <w:right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F-1</w:t>
            </w:r>
          </w:p>
        </w:tc>
      </w:tr>
      <w:tr>
        <w:trPr>
          <w:trHeight w:val="584"/>
        </w:trPr>
        <w:tc>
          <w:tcPr>
            <w:tcW w:w="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380" w:type="dxa"/>
            <w:vAlign w:val="bottom"/>
            <w:tcBorders>
              <w:top w:val="single" w:sz="8" w:color="auto"/>
            </w:tcBorders>
            <w:gridSpan w:val="8"/>
          </w:tcPr>
          <w:p>
            <w:pPr>
              <w:jc w:val="right"/>
              <w:ind w:right="220"/>
              <w:spacing w:after="0"/>
              <w:rPr>
                <w:sz w:val="20"/>
                <w:szCs w:val="20"/>
                <w:color w:val="auto"/>
              </w:rPr>
            </w:pPr>
            <w:r>
              <w:rPr>
                <w:rFonts w:ascii="Arial" w:cs="Arial" w:eastAsia="Arial" w:hAnsi="Arial"/>
                <w:sz w:val="18"/>
                <w:szCs w:val="18"/>
                <w:color w:val="auto"/>
              </w:rPr>
              <w:t>4</w:t>
            </w:r>
          </w:p>
        </w:tc>
        <w:tc>
          <w:tcPr>
            <w:tcW w:w="1240" w:type="dxa"/>
            <w:vAlign w:val="bottom"/>
            <w:tcBorders>
              <w:top w:val="single" w:sz="8" w:color="auto"/>
            </w:tcBorders>
          </w:tcPr>
          <w:p>
            <w:pPr>
              <w:spacing w:after="0"/>
              <w:rPr>
                <w:sz w:val="24"/>
                <w:szCs w:val="24"/>
                <w:color w:val="auto"/>
              </w:rPr>
            </w:pPr>
          </w:p>
        </w:tc>
        <w:tc>
          <w:tcPr>
            <w:tcW w:w="27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61"/>
        </w:trPr>
        <w:tc>
          <w:tcPr>
            <w:tcW w:w="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3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INTRODUCTION AND USE OF CERTAIN TERMS</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i w:val="1"/>
          <w:iCs w:val="1"/>
          <w:color w:val="auto"/>
        </w:rPr>
        <w:t>We have prepared this annual report on Form 20-F (this “Form 20-F” or “Annual Report”) using a number of conventions, which you should consider when reading the information contained herein. In this Form 20-F, except where the context otherwise requires or where otherwise indicated, references to “Tremor,” the “Company,” “we,” “us,” “our,” “our company,” “our business” and similar references refer to Tremor International Ltd., together with its consolidated subsidiaries as a consolidated entity.</w:t>
      </w:r>
    </w:p>
    <w:p>
      <w:pPr>
        <w:spacing w:after="0" w:line="187"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Tremor is a collection of brands uniting creativity, data and technology across the open internet. Our end-to-end, video-first platform facilitates and optimizes engaging advertising campaigns for brands, media groups and content creators worldwide — enabling powerful partnerships and delivering meaningful results. Our omni-channel capabilities deliver global advertising campaigns across all formats and channels, with an expertise in video format ads on all devices (“Video”) and Connected TV (“CTV”).</w:t>
      </w:r>
    </w:p>
    <w:p>
      <w:pPr>
        <w:spacing w:after="0" w:line="183"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PRESENTATION OF FINANCIAL AND OTHER INFORMATION</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publish combined financial statements expressed in U.S. dollars. Our combined financial statements responsive to Item 17 of this Annual Report are prepared in accordance with International Financial Reporting Standards (“IFRS”) as issued by the International Accounting Standards Board (the “IASB”). We present our consolidated financial statements in U.S. dollars. All references in this Annual Report to “Israeli currency” and “NIS” refer to New Israeli Shekels, the terms “dollar,” “USD” or “$” refer to U.S. dollars.</w:t>
      </w:r>
    </w:p>
    <w:p>
      <w:pPr>
        <w:spacing w:after="0" w:line="187"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This Annual Report includes the audited consolidated financial statements of the Company as of and for the years ended December 31, 2021, 2020 and 2019 prepared in accordance with IFRS. The audited consolidated financial statements of the Company as of and for the year ended December 31, 2019 are not directly comparable with the audited consolidated financial statements of the Company as of and for the year ended December 31, 2020 and 2021. This is due to the integration of acquisitions over the course of 2019 and 2020 and the development of the Company’s platform over that time. In consideration of many indicators, we determined that through the year ended December 31, 2019, we acted as principal and beginning with the year ended December 31, 2020, we are now acting as agent under IFRS 15, and thus effective January 1, 2020, we recognize revenue on a net basis for our Programmatic activity, which had been recognized on a gross basis historically, including for the year ended December 31, 2019. In order to improve comparability and provide a more meaningful basis for comparison of our financial results, this Annual Report includes certain unaudited, as adjusted (non-IFRS) revenue information solely for the year ended December 31, 2019 that give effect to the revenue recognition changes noted above as if such changes were applied on January 1, 2019. This as adjusted (non-IFRS) revenue information will not be provided for any period subsequent to the year ended December 31, 2019.</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fiscal year ends on December 31 of each year.</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Throughout this Annual Report, we provide a number of key performance indicators used by our management and often used by others in our industry. We define these key performance indicators as follows:</w:t>
      </w:r>
    </w:p>
    <w:p>
      <w:pPr>
        <w:spacing w:after="0" w:line="170" w:lineRule="exact"/>
        <w:rPr>
          <w:sz w:val="20"/>
          <w:szCs w:val="20"/>
          <w:color w:val="auto"/>
        </w:rPr>
      </w:pPr>
    </w:p>
    <w:p>
      <w:pPr>
        <w:ind w:left="780" w:hanging="340"/>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CTV revenue is revenue derived from Connected TV devices.</w:t>
      </w:r>
    </w:p>
    <w:p>
      <w:pPr>
        <w:spacing w:after="0" w:line="225" w:lineRule="exact"/>
        <w:rPr>
          <w:rFonts w:ascii="Arial" w:cs="Arial" w:eastAsia="Arial" w:hAnsi="Arial"/>
          <w:sz w:val="18"/>
          <w:szCs w:val="18"/>
          <w:color w:val="auto"/>
        </w:rPr>
      </w:pPr>
    </w:p>
    <w:p>
      <w:pPr>
        <w:ind w:left="780" w:hanging="340"/>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Video revenue is revenue derived from video format ads on all devices.</w:t>
      </w:r>
    </w:p>
    <w:p>
      <w:pPr>
        <w:spacing w:after="0" w:line="225" w:lineRule="exact"/>
        <w:rPr>
          <w:rFonts w:ascii="Arial" w:cs="Arial" w:eastAsia="Arial" w:hAnsi="Arial"/>
          <w:sz w:val="18"/>
          <w:szCs w:val="18"/>
          <w:color w:val="auto"/>
        </w:rPr>
      </w:pPr>
    </w:p>
    <w:p>
      <w:pPr>
        <w:ind w:left="780" w:hanging="340"/>
        <w:spacing w:after="0" w:line="277"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Contribution ex-TAC is defined as our gross profit plus depreciation and amortization attributable to cost of revenues and cost of revenues (exclusive of depreciation and amortization) minus the Performance media cost (“traffic acquisition costs” or “TAC”).</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both"/>
        <w:ind w:left="780" w:hanging="340"/>
        <w:spacing w:after="0" w:line="263"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is defined as total comprehensive income for the period adjusted for foreign currency translation differences for foreign operations, financing expenses, net, tax benefit, depreciation and amortization, stock-based compensation, restructuring, acquisition and IPO-related costs and other expenses (income), net.</w:t>
      </w:r>
    </w:p>
    <w:p>
      <w:pPr>
        <w:spacing w:after="0" w:line="183" w:lineRule="exact"/>
        <w:rPr>
          <w:rFonts w:ascii="Arial" w:cs="Arial" w:eastAsia="Arial" w:hAnsi="Arial"/>
          <w:sz w:val="18"/>
          <w:szCs w:val="18"/>
          <w:color w:val="auto"/>
        </w:rPr>
      </w:pPr>
    </w:p>
    <w:p>
      <w:pPr>
        <w:ind w:left="780" w:hanging="340"/>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margin is defined as Adjusted EBITDA as a percentage of revenue.</w:t>
      </w:r>
    </w:p>
    <w:p>
      <w:pPr>
        <w:spacing w:after="0" w:line="225" w:lineRule="exact"/>
        <w:rPr>
          <w:rFonts w:ascii="Arial" w:cs="Arial" w:eastAsia="Arial" w:hAnsi="Arial"/>
          <w:sz w:val="18"/>
          <w:szCs w:val="18"/>
          <w:color w:val="auto"/>
        </w:rPr>
      </w:pPr>
    </w:p>
    <w:p>
      <w:pPr>
        <w:ind w:left="780" w:hanging="340"/>
        <w:spacing w:after="0" w:line="277"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active customer is defined as an advertiser, buyer, agency, trading desk or third-party DSP that has used our platform within a trailing 365-day period.</w:t>
      </w:r>
    </w:p>
    <w:p>
      <w:pPr>
        <w:spacing w:after="0" w:line="170" w:lineRule="exact"/>
        <w:rPr>
          <w:rFonts w:ascii="Arial" w:cs="Arial" w:eastAsia="Arial" w:hAnsi="Arial"/>
          <w:sz w:val="18"/>
          <w:szCs w:val="18"/>
          <w:color w:val="auto"/>
        </w:rPr>
      </w:pPr>
    </w:p>
    <w:p>
      <w:pPr>
        <w:ind w:left="780" w:hanging="340"/>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active publisher is defined as a publisher or third-party SSP that has used our platform within a trailing 365-day period.</w:t>
      </w:r>
    </w:p>
    <w:p>
      <w:pPr>
        <w:spacing w:after="0" w:line="225" w:lineRule="exact"/>
        <w:rPr>
          <w:rFonts w:ascii="Arial" w:cs="Arial" w:eastAsia="Arial" w:hAnsi="Arial"/>
          <w:sz w:val="18"/>
          <w:szCs w:val="18"/>
          <w:color w:val="auto"/>
        </w:rPr>
      </w:pPr>
    </w:p>
    <w:p>
      <w:pPr>
        <w:jc w:val="both"/>
        <w:ind w:left="780" w:hanging="340"/>
        <w:spacing w:after="0" w:line="275" w:lineRule="auto"/>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unique user is defined as an unduplicated visitor to a publisher’s site connected to our platform from both direct and third-party sites in a one-month period and “unique users” is the total number of unduplicated visitors to a publisher’s site connected to our platform from both direct and third-party sites in a one-month period. When a user visits a publisher’s site that is connected to our platform, we receive the request along with a field that holds a unique ID number that identifies the source from which the request came, and as such “unique users” is a summation of unique ID numbers to produce a total of unduplicated visitors to publishers’ sites connected to our platform.</w:t>
      </w:r>
    </w:p>
    <w:p>
      <w:pPr>
        <w:spacing w:after="0" w:line="176" w:lineRule="exact"/>
        <w:rPr>
          <w:rFonts w:ascii="Arial" w:cs="Arial" w:eastAsia="Arial" w:hAnsi="Arial"/>
          <w:sz w:val="17"/>
          <w:szCs w:val="17"/>
          <w:color w:val="auto"/>
        </w:rPr>
      </w:pPr>
    </w:p>
    <w:p>
      <w:pPr>
        <w:jc w:val="both"/>
        <w:ind w:left="780" w:hanging="340"/>
        <w:spacing w:after="0" w:line="263"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Contribution ex-TAC retention rate is defined as Contribution ex-TAC generated in a fiscal year from the customers who were existing customers as of the last day of the previous fiscal year as a percentage of the Contribution ex-TAC generated in the previous fiscal year from the same group of customers. We consider all of our revenue to be recurring.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ind w:firstLine="458"/>
        <w:spacing w:after="0" w:line="248" w:lineRule="auto"/>
        <w:rPr>
          <w:sz w:val="20"/>
          <w:szCs w:val="20"/>
          <w:color w:val="auto"/>
        </w:rPr>
      </w:pPr>
      <w:r>
        <w:rPr>
          <w:rFonts w:ascii="Arial" w:cs="Arial" w:eastAsia="Arial" w:hAnsi="Arial"/>
          <w:sz w:val="17"/>
          <w:szCs w:val="17"/>
          <w:color w:val="auto"/>
        </w:rPr>
        <w:t>We or our licensors have proprietary rights to trademarks, copyrights, trade names or service marks used in this Annual Report that are important to our business, many of which are registered under the applicable intellectual property laws. Solely for convenience, the trademarks, trade names and service marks referred to in this Annual Report may appear without the “</w:t>
      </w:r>
      <w:r>
        <w:rPr>
          <w:rFonts w:ascii="Arial" w:cs="Arial" w:eastAsia="Arial" w:hAnsi="Arial"/>
          <w:sz w:val="28"/>
          <w:szCs w:val="28"/>
          <w:color w:val="auto"/>
          <w:vertAlign w:val="superscript"/>
        </w:rPr>
        <w:t>®</w:t>
      </w:r>
      <w:r>
        <w:rPr>
          <w:rFonts w:ascii="Arial" w:cs="Arial" w:eastAsia="Arial" w:hAnsi="Arial"/>
          <w:sz w:val="17"/>
          <w:szCs w:val="17"/>
          <w:color w:val="auto"/>
        </w:rPr>
        <w:t>” or “</w:t>
      </w:r>
      <w:r>
        <w:rPr>
          <w:rFonts w:ascii="Arial" w:cs="Arial" w:eastAsia="Arial" w:hAnsi="Arial"/>
          <w:sz w:val="28"/>
          <w:szCs w:val="28"/>
          <w:color w:val="auto"/>
          <w:vertAlign w:val="superscript"/>
        </w:rPr>
        <w:t>™</w:t>
      </w:r>
      <w:r>
        <w:rPr>
          <w:rFonts w:ascii="Arial" w:cs="Arial" w:eastAsia="Arial" w:hAnsi="Arial"/>
          <w:sz w:val="17"/>
          <w:szCs w:val="17"/>
          <w:color w:val="auto"/>
        </w:rPr>
        <w:t>” symbols, but such references are not intended to indicate, in any way, that we will not assert, to the fullest extent possible under applicable law, our rights or the rights of the applicable licensor to these trademarks, trade names and service marks. This Annual Report also contains trademarks, copyrights, tradenames and service marks of other companies, which are the property of their respective owners. We do not intend our use or display of other companies’ trademarks, copyrights, trade names or service marks to imply a relationship with, or endorsement or sponsorship of us by, any other companies. Each trademark, copyright, trade name or service mark of any other company appearing in this Annual Report is the property of its respective holder.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Unless otherwise indicated, information in this Annual Report concerning economic conditions, our industry, our markets and our competitive position is based on a variety of sources, including information from independent industry analysts and publications, as well as our own estimates and research.</w:t>
      </w:r>
    </w:p>
    <w:p>
      <w:pPr>
        <w:spacing w:after="0" w:line="184"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Our estimates are derived from publicly available information released by third-party sources, as well as data from our internal research, which we believe to be reasonable. None of the independent industry publications used in this Annual Report were prepared on our behalf.</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jc w:val="both"/>
        <w:ind w:firstLine="441"/>
        <w:spacing w:after="0" w:line="259" w:lineRule="auto"/>
        <w:rPr>
          <w:sz w:val="20"/>
          <w:szCs w:val="20"/>
          <w:color w:val="auto"/>
        </w:rPr>
      </w:pPr>
      <w:r>
        <w:rPr>
          <w:rFonts w:ascii="Arial" w:cs="Arial" w:eastAsia="Arial" w:hAnsi="Arial"/>
          <w:sz w:val="18"/>
          <w:szCs w:val="18"/>
          <w:color w:val="auto"/>
        </w:rPr>
        <w:t>Certain estimates of market opportunity and forecasts of market growth included in this Annual Report may prove to be inaccurate. The estimates and forecasts in this Annual Report relating to the size of our target market, market demand and adoption, capacity to address this demand and pricing may prove to be inaccurate. The addressable market we estimate may not materialize for many years, if ever, and even if the markets in which we compete meet the size estimates in this Annual Report, our business could fail to grow at similar rates, if at all.</w:t>
      </w:r>
    </w:p>
    <w:p>
      <w:pPr>
        <w:spacing w:after="0" w:line="187" w:lineRule="exact"/>
        <w:rPr>
          <w:sz w:val="20"/>
          <w:szCs w:val="20"/>
          <w:color w:val="auto"/>
        </w:rPr>
      </w:pPr>
    </w:p>
    <w:p>
      <w:pPr>
        <w:jc w:val="both"/>
        <w:ind w:right="20" w:firstLine="441"/>
        <w:spacing w:after="0" w:line="308" w:lineRule="auto"/>
        <w:rPr>
          <w:sz w:val="20"/>
          <w:szCs w:val="20"/>
          <w:color w:val="auto"/>
        </w:rPr>
      </w:pPr>
      <w:r>
        <w:rPr>
          <w:rFonts w:ascii="Arial" w:cs="Arial" w:eastAsia="Arial" w:hAnsi="Arial"/>
          <w:sz w:val="17"/>
          <w:szCs w:val="17"/>
          <w:color w:val="auto"/>
        </w:rPr>
        <w:t>Forecasts and other forward-looking information obtained from these sources are subject to the same qualifications and uncertainties as the other forward-looking statements in this Annual Report. See “</w:t>
      </w:r>
      <w:r>
        <w:rPr>
          <w:rFonts w:ascii="Arial" w:cs="Arial" w:eastAsia="Arial" w:hAnsi="Arial"/>
          <w:sz w:val="17"/>
          <w:szCs w:val="17"/>
          <w:i w:val="1"/>
          <w:iCs w:val="1"/>
          <w:color w:val="auto"/>
        </w:rPr>
        <w:t>Risk Factors</w:t>
      </w:r>
      <w:r>
        <w:rPr>
          <w:rFonts w:ascii="Arial" w:cs="Arial" w:eastAsia="Arial" w:hAnsi="Arial"/>
          <w:sz w:val="17"/>
          <w:szCs w:val="17"/>
          <w:color w:val="auto"/>
        </w:rPr>
        <w:t>” and “</w:t>
      </w:r>
      <w:r>
        <w:rPr>
          <w:rFonts w:ascii="Arial" w:cs="Arial" w:eastAsia="Arial" w:hAnsi="Arial"/>
          <w:sz w:val="17"/>
          <w:szCs w:val="17"/>
          <w:i w:val="1"/>
          <w:iCs w:val="1"/>
          <w:color w:val="auto"/>
        </w:rPr>
        <w:t>Special Note Regarding Forward-Looking Statements</w:t>
      </w:r>
      <w:r>
        <w:rPr>
          <w:rFonts w:ascii="Arial" w:cs="Arial" w:eastAsia="Arial" w:hAnsi="Arial"/>
          <w:sz w:val="17"/>
          <w:szCs w:val="17"/>
          <w:color w:val="auto"/>
        </w:rPr>
        <w: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ABOUT FORWARD-LOOKING STATEMENTS AND RISK FACTOR SUMMARY</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This Annual Report contains certain estimates and “forward-looking statements” within the meaning of the Private Securities Litigation Reform Act of 1995, the provisions of Section 27A of the Securities Act of 1933 (the “Securities Act”) and Section 21E of the Exchange Act of 1934 (the “Exchange Act”). Forward-looking statements include financial projections, statements of plans and objectives for future operations, statements of future economic performance, and statements of assumptions relating thereto, including, but not limited to statements regarding: market opportunity; forecasts; market growth and growth strategy; demand; dependence on third parties such as advertisers, publishers and third-party data providers; our technology investment decisions; industry conditions; changes in technology and regulation and the impact thereof; plans with respect to our intellectual property rights; our competition; global and local economic and geopolitical forces, including the COVID-19 pandemic; seasonality; dependence on our sales and support team; our positioning and strategy; digital advertising trends overall; our solutions and platform; customers; our dividend policy and our buyback program; working capital and the sufficiency thereof; financial metrics such as revenue, costs and expenses, including capital expenditures; legal proceedings and tax. Forward-looking statements may appear throughout this report, including without limitation, in “Item 3. Key Information-Risk Factors,” “Item 4. Information on the Company,” “Item 5. Operating and Financial Review and Prospects-5.A. Operating Results.” In some cases, these forward-looking statements can be identified by words or phrases such as “may,” “might,” “will,” “could,” “would,” “should,” “expect,” “plan,” “anticipate,” “intend,” “seek,” “believe,” “estimate,” “predict,” “potential,” “continue,” “contemplate,” “possible” or the negative of these terms or similar expressions.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risks, assumptions and factors that could cause our actual results or conditions to differ materially from our forward-looking statements include, among others, the items in the following list, which also summarizes some of our most principal risks:</w:t>
      </w:r>
    </w:p>
    <w:p>
      <w:pPr>
        <w:spacing w:after="0" w:line="174" w:lineRule="exact"/>
        <w:rPr>
          <w:sz w:val="20"/>
          <w:szCs w:val="20"/>
          <w:color w:val="auto"/>
        </w:rPr>
      </w:pPr>
    </w:p>
    <w:p>
      <w:pPr>
        <w:ind w:left="780" w:right="20" w:hanging="340"/>
        <w:spacing w:after="0" w:line="308" w:lineRule="auto"/>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success and revenue growth are dependent on adding new advertisers and publishers, effectively educating and training our existing advertisers and publishers on how to make full use of our platform and increasing usage of our platform by advertisers and publishers;</w:t>
      </w:r>
    </w:p>
    <w:p>
      <w:pPr>
        <w:spacing w:after="0" w:line="146" w:lineRule="exact"/>
        <w:rPr>
          <w:rFonts w:ascii="Arial" w:cs="Arial" w:eastAsia="Arial" w:hAnsi="Arial"/>
          <w:sz w:val="17"/>
          <w:szCs w:val="17"/>
          <w:color w:val="auto"/>
        </w:rPr>
      </w:pPr>
    </w:p>
    <w:p>
      <w:pPr>
        <w:ind w:left="780" w:hanging="340"/>
        <w:spacing w:after="0" w:line="277"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depends on our ability to maintain and expand access to advertising spend, including spend from a limited number of DSPs, agencies and advertisers;</w:t>
      </w:r>
    </w:p>
    <w:p>
      <w:pPr>
        <w:spacing w:after="0" w:line="170" w:lineRule="exact"/>
        <w:rPr>
          <w:rFonts w:ascii="Arial" w:cs="Arial" w:eastAsia="Arial" w:hAnsi="Arial"/>
          <w:sz w:val="18"/>
          <w:szCs w:val="18"/>
          <w:color w:val="auto"/>
        </w:rPr>
      </w:pPr>
    </w:p>
    <w:p>
      <w:pPr>
        <w:ind w:left="780" w:hanging="340"/>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business depends on our ability to maintain and expand access to valuable inventory from publishers, including our largest publishers;</w:t>
      </w:r>
    </w:p>
    <w:p>
      <w:pPr>
        <w:spacing w:after="0" w:line="236" w:lineRule="exact"/>
        <w:rPr>
          <w:rFonts w:ascii="Arial" w:cs="Arial" w:eastAsia="Arial" w:hAnsi="Arial"/>
          <w:sz w:val="17"/>
          <w:szCs w:val="17"/>
          <w:color w:val="auto"/>
        </w:rPr>
      </w:pPr>
    </w:p>
    <w:p>
      <w:pPr>
        <w:ind w:left="780" w:hanging="340"/>
        <w:spacing w:after="0" w:line="277"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attract and retain advertisers and publishers if we may fail to make the right investment decisions in our platform, or innovate and develop new solutions that are adopted by advertisers and publishers;</w:t>
      </w:r>
    </w:p>
    <w:p>
      <w:pPr>
        <w:spacing w:after="0" w:line="170" w:lineRule="exact"/>
        <w:rPr>
          <w:rFonts w:ascii="Arial" w:cs="Arial" w:eastAsia="Arial" w:hAnsi="Arial"/>
          <w:sz w:val="18"/>
          <w:szCs w:val="18"/>
          <w:color w:val="auto"/>
        </w:rPr>
      </w:pPr>
    </w:p>
    <w:p>
      <w:pPr>
        <w:ind w:left="780" w:hanging="340"/>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parts of our business depend on relationships with data providers for data sets used to deliver targeted campaigns;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ind w:left="340" w:hanging="340"/>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depends on our ability to collect, use and disclose certain data, including CTV data, to deliver advertisements. Any limitation imposed on our collection, use or disclosure of this data could significantly diminish the value of our platform;</w:t>
      </w:r>
    </w:p>
    <w:p>
      <w:pPr>
        <w:spacing w:after="0" w:line="170" w:lineRule="exact"/>
        <w:rPr>
          <w:rFonts w:ascii="Arial" w:cs="Arial" w:eastAsia="Arial" w:hAnsi="Arial"/>
          <w:sz w:val="18"/>
          <w:szCs w:val="18"/>
          <w:color w:val="auto"/>
        </w:rPr>
      </w:pPr>
    </w:p>
    <w:p>
      <w:pPr>
        <w:ind w:left="340" w:right="20" w:hanging="340"/>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use of third-party “cookies,” mobile device IDs, CTV data collection or other tracking technologies is restricted without similar or better alternatives (and adoption of such alternatives), our platform’s effectiveness could be diminished;</w:t>
      </w:r>
    </w:p>
    <w:p>
      <w:pPr>
        <w:spacing w:after="0" w:line="170" w:lineRule="exact"/>
        <w:rPr>
          <w:rFonts w:ascii="Arial" w:cs="Arial" w:eastAsia="Arial" w:hAnsi="Arial"/>
          <w:sz w:val="18"/>
          <w:szCs w:val="18"/>
          <w:color w:val="auto"/>
        </w:rPr>
      </w:pPr>
    </w:p>
    <w:p>
      <w:pPr>
        <w:ind w:left="340" w:right="20" w:hanging="340"/>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failure to meet content and inventory standards and provide services that our advertisers and publishers trust could harm our brand and reputation;</w:t>
      </w:r>
    </w:p>
    <w:p>
      <w:pPr>
        <w:spacing w:after="0" w:line="170" w:lineRule="exact"/>
        <w:rPr>
          <w:rFonts w:ascii="Arial" w:cs="Arial" w:eastAsia="Arial" w:hAnsi="Arial"/>
          <w:sz w:val="18"/>
          <w:szCs w:val="18"/>
          <w:color w:val="auto"/>
        </w:rPr>
      </w:pPr>
    </w:p>
    <w:p>
      <w:pPr>
        <w:ind w:left="340" w:hanging="340"/>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must grow rapidly to remain a market leader and to accomplish our strategic objective;</w:t>
      </w:r>
    </w:p>
    <w:p>
      <w:pPr>
        <w:spacing w:after="0" w:line="225" w:lineRule="exact"/>
        <w:rPr>
          <w:rFonts w:ascii="Arial" w:cs="Arial" w:eastAsia="Arial" w:hAnsi="Arial"/>
          <w:sz w:val="18"/>
          <w:szCs w:val="18"/>
          <w:color w:val="auto"/>
        </w:rPr>
      </w:pPr>
    </w:p>
    <w:p>
      <w:pPr>
        <w:ind w:left="340" w:hanging="340"/>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for programmatic buying for advertising campaigns is relatively new and evolving;</w:t>
      </w:r>
    </w:p>
    <w:p>
      <w:pPr>
        <w:spacing w:after="0" w:line="225" w:lineRule="exact"/>
        <w:rPr>
          <w:rFonts w:ascii="Arial" w:cs="Arial" w:eastAsia="Arial" w:hAnsi="Arial"/>
          <w:sz w:val="18"/>
          <w:szCs w:val="18"/>
          <w:color w:val="auto"/>
        </w:rPr>
      </w:pPr>
    </w:p>
    <w:p>
      <w:pPr>
        <w:ind w:left="340" w:hanging="340"/>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detect or prevent fraud on our platform, or malware intrusion into the systems or devices of our publishers and their consumers, publishers could lose confidence in our platform and we could face legal claims;</w:t>
      </w:r>
    </w:p>
    <w:p>
      <w:pPr>
        <w:spacing w:after="0" w:line="170" w:lineRule="exact"/>
        <w:rPr>
          <w:rFonts w:ascii="Arial" w:cs="Arial" w:eastAsia="Arial" w:hAnsi="Arial"/>
          <w:sz w:val="18"/>
          <w:szCs w:val="18"/>
          <w:color w:val="auto"/>
        </w:rPr>
      </w:pPr>
    </w:p>
    <w:p>
      <w:pPr>
        <w:ind w:left="340" w:hanging="340"/>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rejection of digital advertising by consumers through opt-in, opt-out or ad-blocking technologies or other means;</w:t>
      </w:r>
    </w:p>
    <w:p>
      <w:pPr>
        <w:spacing w:after="0" w:line="225" w:lineRule="exact"/>
        <w:rPr>
          <w:rFonts w:ascii="Arial" w:cs="Arial" w:eastAsia="Arial" w:hAnsi="Arial"/>
          <w:sz w:val="18"/>
          <w:szCs w:val="18"/>
          <w:color w:val="auto"/>
        </w:rPr>
      </w:pPr>
    </w:p>
    <w:p>
      <w:pPr>
        <w:ind w:left="340" w:hanging="340"/>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scale our platform infrastructure to support anticipated growth and transaction volume;</w:t>
      </w:r>
    </w:p>
    <w:p>
      <w:pPr>
        <w:spacing w:after="0" w:line="225" w:lineRule="exact"/>
        <w:rPr>
          <w:rFonts w:ascii="Arial" w:cs="Arial" w:eastAsia="Arial" w:hAnsi="Arial"/>
          <w:sz w:val="18"/>
          <w:szCs w:val="18"/>
          <w:color w:val="auto"/>
        </w:rPr>
      </w:pPr>
    </w:p>
    <w:p>
      <w:pPr>
        <w:ind w:left="340" w:hanging="340"/>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disruptions to service from our third-party data center hosting facilities and cloud computing and hosting providers could impair the delivery of our services;</w:t>
      </w:r>
    </w:p>
    <w:p>
      <w:pPr>
        <w:spacing w:after="0" w:line="170" w:lineRule="exact"/>
        <w:rPr>
          <w:rFonts w:ascii="Arial" w:cs="Arial" w:eastAsia="Arial" w:hAnsi="Arial"/>
          <w:sz w:val="18"/>
          <w:szCs w:val="18"/>
          <w:color w:val="auto"/>
        </w:rPr>
      </w:pPr>
    </w:p>
    <w:p>
      <w:pPr>
        <w:ind w:left="340" w:hanging="340"/>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liability and harm to our business based on the human factor of inputting information into our platform;</w:t>
      </w:r>
    </w:p>
    <w:p>
      <w:pPr>
        <w:spacing w:after="0" w:line="225" w:lineRule="exact"/>
        <w:rPr>
          <w:rFonts w:ascii="Arial" w:cs="Arial" w:eastAsia="Arial" w:hAnsi="Arial"/>
          <w:sz w:val="18"/>
          <w:szCs w:val="18"/>
          <w:color w:val="auto"/>
        </w:rPr>
      </w:pPr>
    </w:p>
    <w:p>
      <w:pPr>
        <w:ind w:left="340" w:hanging="340"/>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failure to protect our intellectual property rights;</w:t>
      </w:r>
    </w:p>
    <w:p>
      <w:pPr>
        <w:spacing w:after="0" w:line="225" w:lineRule="exact"/>
        <w:rPr>
          <w:rFonts w:ascii="Arial" w:cs="Arial" w:eastAsia="Arial" w:hAnsi="Arial"/>
          <w:sz w:val="18"/>
          <w:szCs w:val="18"/>
          <w:color w:val="auto"/>
        </w:rPr>
      </w:pPr>
    </w:p>
    <w:p>
      <w:pPr>
        <w:ind w:left="340" w:hanging="340"/>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non-proprietary technology, software, products and services that we use are unavailable, have future terms we cannot agree to or do not perform as we expect;</w:t>
      </w:r>
    </w:p>
    <w:p>
      <w:pPr>
        <w:spacing w:after="0" w:line="170" w:lineRule="exact"/>
        <w:rPr>
          <w:rFonts w:ascii="Arial" w:cs="Arial" w:eastAsia="Arial" w:hAnsi="Arial"/>
          <w:sz w:val="18"/>
          <w:szCs w:val="18"/>
          <w:color w:val="auto"/>
        </w:rPr>
      </w:pPr>
    </w:p>
    <w:p>
      <w:pPr>
        <w:ind w:left="340" w:hanging="340"/>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overall demand for advertising;</w:t>
      </w:r>
    </w:p>
    <w:p>
      <w:pPr>
        <w:spacing w:after="0" w:line="225" w:lineRule="exact"/>
        <w:rPr>
          <w:rFonts w:ascii="Arial" w:cs="Arial" w:eastAsia="Arial" w:hAnsi="Arial"/>
          <w:sz w:val="18"/>
          <w:szCs w:val="18"/>
          <w:color w:val="auto"/>
        </w:rPr>
      </w:pPr>
    </w:p>
    <w:p>
      <w:pPr>
        <w:ind w:left="340" w:hanging="340"/>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ongoing COVID-19 pandemic;</w:t>
      </w:r>
    </w:p>
    <w:p>
      <w:pPr>
        <w:spacing w:after="0" w:line="225" w:lineRule="exact"/>
        <w:rPr>
          <w:rFonts w:ascii="Arial" w:cs="Arial" w:eastAsia="Arial" w:hAnsi="Arial"/>
          <w:sz w:val="18"/>
          <w:szCs w:val="18"/>
          <w:color w:val="auto"/>
        </w:rPr>
      </w:pPr>
    </w:p>
    <w:p>
      <w:pPr>
        <w:ind w:left="340" w:hanging="340"/>
        <w:spacing w:after="0"/>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decrease in the use of the advertising or publishing channels that we primarily depend on, or failure to expand into emerging channels;</w:t>
      </w:r>
    </w:p>
    <w:p>
      <w:pPr>
        <w:spacing w:after="0" w:line="236" w:lineRule="exact"/>
        <w:rPr>
          <w:rFonts w:ascii="Arial" w:cs="Arial" w:eastAsia="Arial" w:hAnsi="Arial"/>
          <w:sz w:val="17"/>
          <w:szCs w:val="17"/>
          <w:color w:val="auto"/>
        </w:rPr>
      </w:pPr>
    </w:p>
    <w:p>
      <w:pPr>
        <w:ind w:left="340" w:hanging="340"/>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CTV develops in ways that prevent advertisements from being delivered to consumers;</w:t>
      </w:r>
    </w:p>
    <w:p>
      <w:pPr>
        <w:spacing w:after="0" w:line="225" w:lineRule="exact"/>
        <w:rPr>
          <w:rFonts w:ascii="Arial" w:cs="Arial" w:eastAsia="Arial" w:hAnsi="Arial"/>
          <w:sz w:val="18"/>
          <w:szCs w:val="18"/>
          <w:color w:val="auto"/>
        </w:rPr>
      </w:pPr>
    </w:p>
    <w:p>
      <w:pPr>
        <w:ind w:left="340" w:hanging="340"/>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competitive nature of the market in which we participate;</w:t>
      </w:r>
    </w:p>
    <w:p>
      <w:pPr>
        <w:spacing w:after="0" w:line="225" w:lineRule="exact"/>
        <w:rPr>
          <w:rFonts w:ascii="Arial" w:cs="Arial" w:eastAsia="Arial" w:hAnsi="Arial"/>
          <w:sz w:val="18"/>
          <w:szCs w:val="18"/>
          <w:color w:val="auto"/>
        </w:rPr>
      </w:pPr>
    </w:p>
    <w:p>
      <w:pPr>
        <w:ind w:left="340" w:hanging="340"/>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 fluctuations in advertising activity;</w:t>
      </w:r>
    </w:p>
    <w:p>
      <w:pPr>
        <w:spacing w:after="0" w:line="225" w:lineRule="exact"/>
        <w:rPr>
          <w:rFonts w:ascii="Arial" w:cs="Arial" w:eastAsia="Arial" w:hAnsi="Arial"/>
          <w:sz w:val="18"/>
          <w:szCs w:val="18"/>
          <w:color w:val="auto"/>
        </w:rPr>
      </w:pPr>
    </w:p>
    <w:p>
      <w:pPr>
        <w:ind w:left="340" w:hanging="340"/>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 growth and training of our sales and support teams;</w:t>
      </w:r>
    </w:p>
    <w:p>
      <w:pPr>
        <w:spacing w:after="0" w:line="200" w:lineRule="exact"/>
        <w:rPr>
          <w:sz w:val="20"/>
          <w:szCs w:val="20"/>
          <w:color w:val="auto"/>
        </w:rPr>
      </w:pPr>
    </w:p>
    <w:p>
      <w:pPr>
        <w:spacing w:after="0" w:line="20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48895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125" w:right="339" w:bottom="1440" w:gutter="0" w:footer="0" w:header="0"/>
        </w:sectPr>
      </w:pPr>
    </w:p>
    <w:bookmarkStart w:id="8" w:name="page9"/>
    <w:bookmarkEnd w:id="8"/>
    <w:p>
      <w:pPr>
        <w:ind w:left="780" w:hanging="340"/>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risks relating to our employees or our location in Israel;</w:t>
      </w:r>
    </w:p>
    <w:p>
      <w:pPr>
        <w:spacing w:after="0" w:line="225" w:lineRule="exact"/>
        <w:rPr>
          <w:rFonts w:ascii="Arial" w:cs="Arial" w:eastAsia="Arial" w:hAnsi="Arial"/>
          <w:sz w:val="18"/>
          <w:szCs w:val="18"/>
          <w:color w:val="auto"/>
        </w:rPr>
      </w:pPr>
    </w:p>
    <w:p>
      <w:pPr>
        <w:ind w:left="780" w:hanging="340"/>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risks relating to legal or regulatory issues; and</w:t>
      </w:r>
    </w:p>
    <w:p>
      <w:pPr>
        <w:spacing w:after="0" w:line="225" w:lineRule="exact"/>
        <w:rPr>
          <w:rFonts w:ascii="Arial" w:cs="Arial" w:eastAsia="Arial" w:hAnsi="Arial"/>
          <w:sz w:val="18"/>
          <w:szCs w:val="18"/>
          <w:color w:val="auto"/>
        </w:rPr>
      </w:pPr>
    </w:p>
    <w:p>
      <w:pPr>
        <w:ind w:left="780" w:hanging="340"/>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risks associated with our financial profile and our ADSs.</w:t>
      </w:r>
    </w:p>
    <w:p>
      <w:pPr>
        <w:spacing w:after="0" w:line="225"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color w:val="auto"/>
        </w:rPr>
        <w:t>These risks factors are discussed in more detail in this Annual Report, including under “</w:t>
      </w:r>
      <w:r>
        <w:rPr>
          <w:rFonts w:ascii="Arial" w:cs="Arial" w:eastAsia="Arial" w:hAnsi="Arial"/>
          <w:sz w:val="16"/>
          <w:szCs w:val="16"/>
          <w:i w:val="1"/>
          <w:iCs w:val="1"/>
          <w:color w:val="auto"/>
        </w:rPr>
        <w:t>Item 3. Key Information-3.D. Risk Factors</w:t>
      </w:r>
      <w:r>
        <w:rPr>
          <w:rFonts w:ascii="Arial" w:cs="Arial" w:eastAsia="Arial" w:hAnsi="Arial"/>
          <w:sz w:val="16"/>
          <w:szCs w:val="16"/>
          <w:color w:val="auto"/>
        </w:rPr>
        <w:t>.” The forward-looking statements in this Annual Report are only predictions. These statements are inherently uncertain, subject to risks and uncertainties, some of which cannot be predicted or quantified, and investors are cautioned not to unduly rely upon these statements. The events and circumstances reflected in our forward-looking statements may not be achieved or occur and actual results could differ materially from those projected in the forward-looking statements.</w:t>
      </w:r>
    </w:p>
    <w:p>
      <w:pPr>
        <w:spacing w:after="0" w:line="157"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spacing w:after="0" w:line="187"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You should read this Annual Report and the documents that we reference in this Annual Report and have been filed as exhibits to this Annual Report with the understanding that our actual future results, levels of activity, performance and achievements may be materially different from what we expect. We qualify all of our forward-looking statements by these cautionary statements.</w:t>
      </w:r>
    </w:p>
    <w:p>
      <w:pPr>
        <w:spacing w:after="0" w:line="184"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 estimates and forward-looking statements contained in this Annual Report speak only as of the date of this Annual Report. Except as required by applicable law, we undertake no obligation to publicly update or revise any estimates or forward-looking statements whether as a result of new information, future events or otherwise, or to reflect the occurrence of unanticipated events.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IDENTITY OF DIRECTORS, SENIOR MANAGEMENT AND ADVISERS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229" w:lineRule="exact"/>
        <w:rPr>
          <w:sz w:val="20"/>
          <w:szCs w:val="20"/>
          <w:color w:val="auto"/>
        </w:rPr>
      </w:pPr>
    </w:p>
    <w:p>
      <w:pPr>
        <w:jc w:val="center"/>
        <w:ind w:right="88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KEY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3.A.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3.B. CAPITALIZATION AND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3.C. REASONS FOR THE OFFER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3.D. RISK FACTORS</w:t>
      </w:r>
    </w:p>
    <w:p>
      <w:pPr>
        <w:spacing w:after="0" w:line="229" w:lineRule="exact"/>
        <w:rPr>
          <w:sz w:val="20"/>
          <w:szCs w:val="20"/>
          <w:color w:val="auto"/>
        </w:rPr>
      </w:pPr>
    </w:p>
    <w:p>
      <w:pPr>
        <w:jc w:val="both"/>
        <w:ind w:firstLine="526"/>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together with all of the other information included in this Annual Report, in evaluating us and our ADSs and shares. Our business, financial condition or results of operations could be materially and adversely affected by any of these risks. The trading price and value of our ordinary shares and ADSs could decline due to any of these risks, and you may lose all or part of your investment. This Annual Report also contains forward- looking statements that involve risks and uncertainties. Our actual results could differ materially from those anticipated in these forward-looking statements as a result of certain factors, including the risks faced by us described below and elsewhere in this Annual Report.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Additional risks not presently known to us or that we currently deem immaterial may also impair our business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success and revenue growth are dependent on adding new advertisers and publishers, effectively educating and training our existing advertisers and publishers on how to make full use of our platform and increasing usage of our platform by advertisers and publishers.</w:t>
      </w:r>
    </w:p>
    <w:p>
      <w:pPr>
        <w:spacing w:after="0" w:line="146" w:lineRule="exact"/>
        <w:rPr>
          <w:sz w:val="20"/>
          <w:szCs w:val="20"/>
          <w:color w:val="auto"/>
        </w:rPr>
      </w:pPr>
    </w:p>
    <w:p>
      <w:pPr>
        <w:jc w:val="both"/>
        <w:ind w:firstLine="724"/>
        <w:spacing w:after="0" w:line="293" w:lineRule="auto"/>
        <w:rPr>
          <w:sz w:val="20"/>
          <w:szCs w:val="20"/>
          <w:color w:val="auto"/>
        </w:rPr>
      </w:pPr>
      <w:r>
        <w:rPr>
          <w:rFonts w:ascii="Arial" w:cs="Arial" w:eastAsia="Arial" w:hAnsi="Arial"/>
          <w:sz w:val="16"/>
          <w:szCs w:val="16"/>
          <w:color w:val="auto"/>
        </w:rPr>
        <w:t>Our success is dependent on regularly adding new advertisers and publishers and increasing their usage of our platform. Our contracts and relationships with advertisers and publishers generally do not include long-term or exclusive obligations requiring them to use our platform or maintain or increase their use of our platform. Advertisers and publishers typically have relationships with numerous providers and can use both our platform and those of our competitors without incurring significant costs or disruption. They may also choose to decrease their overall advertising spend for any reason, including if they do not believe they are receiving a sufficient return. Accordingly, we must continually work to add new advertisers and publishers to our customer base, retain our existing advertisers and publishers, increase their usage of our platform and capture a larger share of their advertising spend.</w:t>
      </w:r>
    </w:p>
    <w:p>
      <w:pPr>
        <w:spacing w:after="0" w:line="164" w:lineRule="exact"/>
        <w:rPr>
          <w:sz w:val="20"/>
          <w:szCs w:val="20"/>
          <w:color w:val="auto"/>
        </w:rPr>
      </w:pPr>
    </w:p>
    <w:p>
      <w:pPr>
        <w:jc w:val="both"/>
        <w:ind w:firstLine="492"/>
        <w:spacing w:after="0" w:line="259" w:lineRule="auto"/>
        <w:rPr>
          <w:sz w:val="20"/>
          <w:szCs w:val="20"/>
          <w:color w:val="auto"/>
        </w:rPr>
      </w:pPr>
      <w:r>
        <w:rPr>
          <w:rFonts w:ascii="Arial" w:cs="Arial" w:eastAsia="Arial" w:hAnsi="Arial"/>
          <w:sz w:val="18"/>
          <w:szCs w:val="18"/>
          <w:color w:val="auto"/>
        </w:rPr>
        <w:t>We may not be successful at educating and training advertisers and publishers, especially new ones, on how to use our platform in order for them to most benefit from our platform and increase their usage. If these efforts are unsuccessful or advertisers or publishers decide not to maintain or increase their usage of our platform for any other reason, or if we fail to attract new advertisers or publishers, our revenue could fail to grow or may decline, which would materially and adversely harm our business, operating results and financial condition.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depends on our ability to maintain and expand access to advertising spend, including spend from a limited number of DSPs, agencies and advertisers.</w:t>
      </w:r>
    </w:p>
    <w:p>
      <w:pPr>
        <w:spacing w:after="0" w:line="170" w:lineRule="exact"/>
        <w:rPr>
          <w:sz w:val="20"/>
          <w:szCs w:val="20"/>
          <w:color w:val="auto"/>
        </w:rPr>
      </w:pPr>
    </w:p>
    <w:p>
      <w:pPr>
        <w:jc w:val="both"/>
        <w:ind w:firstLine="495"/>
        <w:spacing w:after="0" w:line="253" w:lineRule="auto"/>
        <w:rPr>
          <w:sz w:val="20"/>
          <w:szCs w:val="20"/>
          <w:color w:val="auto"/>
        </w:rPr>
      </w:pPr>
      <w:r>
        <w:rPr>
          <w:rFonts w:ascii="Arial" w:cs="Arial" w:eastAsia="Arial" w:hAnsi="Arial"/>
          <w:sz w:val="18"/>
          <w:szCs w:val="18"/>
          <w:color w:val="auto"/>
        </w:rPr>
        <w:t>Our business depends on our ability to maintain and expand our access to advertising spend from advertisers through DSPs, as well as agencies and direct advertisers (that execute their purchases through DSPs), to purchase impressions from our publishers. A limited number of large advertising customers may account for a significant portion of our revenue, in particular, for the year ended December 31, 2021, one buyer represents 13.6% of revenue. For the years ended December 31, 2020 and 2019, no individual buyer accounted for more than 10% of revenue. Our master agreements with most DSPs and other customers automatically renew each year for successive one-year terms. However, either party may generally terminate for convenience upon providing 30-day prior written notice. We expect to depend upon these few DSPs and advertising customers for a large percentage of impressions purchased for the foreseeable future. Any disruptions in our relationships with DSPs, agencies or advertisers could harm our business, results of operations and financial condition. To support our continued growth, we will seek to expand upon current levels of utilization with these DSPs, agencies and advertisers.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both"/>
        <w:ind w:firstLine="507"/>
        <w:spacing w:after="0" w:line="301" w:lineRule="auto"/>
        <w:rPr>
          <w:sz w:val="20"/>
          <w:szCs w:val="20"/>
          <w:color w:val="auto"/>
        </w:rPr>
      </w:pPr>
      <w:r>
        <w:rPr>
          <w:rFonts w:ascii="Arial" w:cs="Arial" w:eastAsia="Arial" w:hAnsi="Arial"/>
          <w:sz w:val="16"/>
          <w:szCs w:val="16"/>
          <w:color w:val="auto"/>
        </w:rPr>
        <w:t>In general, we have no minimum commitments from advertisers, agencies or DSPs to spend on our platform, so the amount of demand available to us can change at any time, and we cannot assure you that we will have access to a consistent volume or quality of advertising spend or demand. If an advertiser or DSP representing a significant portion of the demand in our platform decides to materially reduce use of our services, it could cause an immediate and significant decline in our revenue and profitability and adversely affect our business, results of operations and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depends on our ability to maintain and expand access to valuable inventory from publishers, including our largest publishers.</w:t>
      </w:r>
    </w:p>
    <w:p>
      <w:pPr>
        <w:spacing w:after="0" w:line="248" w:lineRule="exact"/>
        <w:rPr>
          <w:sz w:val="20"/>
          <w:szCs w:val="20"/>
          <w:color w:val="auto"/>
        </w:rPr>
      </w:pPr>
    </w:p>
    <w:p>
      <w:pPr>
        <w:jc w:val="both"/>
        <w:ind w:firstLine="459"/>
        <w:spacing w:after="0" w:line="257" w:lineRule="auto"/>
        <w:rPr>
          <w:sz w:val="20"/>
          <w:szCs w:val="20"/>
          <w:color w:val="auto"/>
        </w:rPr>
      </w:pPr>
      <w:r>
        <w:rPr>
          <w:rFonts w:ascii="Arial" w:cs="Arial" w:eastAsia="Arial" w:hAnsi="Arial"/>
          <w:sz w:val="18"/>
          <w:szCs w:val="18"/>
          <w:color w:val="auto"/>
        </w:rPr>
        <w:t>Our business depends on our access to valuable advertising inventory. We depend upon publishers, including channel partners, which aggregate large numbers of smaller publishers, to provide advertising inventory which we can offer to prospective advertisers. A relatively small number of publishers have historically accounted for a significant portion of the advertising inventory sold on our platform, as well as a significant portion of our revenue, including a relatively small number of channel partners. To support our continued growth, we will seek to add additional publishers to our platform and to expand current utilization with our existing publishers.</w:t>
      </w:r>
    </w:p>
    <w:p>
      <w:pPr>
        <w:spacing w:after="0" w:line="188" w:lineRule="exact"/>
        <w:rPr>
          <w:sz w:val="20"/>
          <w:szCs w:val="20"/>
          <w:color w:val="auto"/>
        </w:rPr>
      </w:pPr>
    </w:p>
    <w:p>
      <w:pPr>
        <w:jc w:val="both"/>
        <w:ind w:firstLine="620"/>
        <w:spacing w:after="0" w:line="273" w:lineRule="auto"/>
        <w:rPr>
          <w:sz w:val="20"/>
          <w:szCs w:val="20"/>
          <w:color w:val="auto"/>
        </w:rPr>
      </w:pPr>
      <w:r>
        <w:rPr>
          <w:rFonts w:ascii="Arial" w:cs="Arial" w:eastAsia="Arial" w:hAnsi="Arial"/>
          <w:sz w:val="17"/>
          <w:szCs w:val="17"/>
          <w:color w:val="auto"/>
        </w:rPr>
        <w:t>In general, our relationships with publishers do not contain minimum commitments, other than as stated in Note 20c to our audited consolidated financial statements so the amount, quality and cost of inventory available on our platform can change at any time, and we cannot assure you that we will have access to a consistent volume or quality of inventory at a reasonable cost, or at all. Any disruptions in our relationships with publishers or our largest channel partners could adversely affect our business, results of operations and financial condition. If we cannot retain or add individual publishers with valuable inventory, or if such publishers decide not to make their valuable inventory available on our platform, then our advertisers may be less inclined to use our platform, which could adversely affect our business, results of operations and financial condition.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make the right investment decisions in our platform, or if we fail to innovate and develop new solutions that are adopted by advertisers and publishers, we may not attract and retain advertisers and publishers, which could have an adverse effect on our business, results of operations and financial condition.</w:t>
      </w:r>
    </w:p>
    <w:p>
      <w:pPr>
        <w:spacing w:after="0" w:line="184" w:lineRule="exact"/>
        <w:rPr>
          <w:sz w:val="20"/>
          <w:szCs w:val="20"/>
          <w:color w:val="auto"/>
        </w:rPr>
      </w:pPr>
    </w:p>
    <w:p>
      <w:pPr>
        <w:jc w:val="both"/>
        <w:ind w:firstLine="740"/>
        <w:spacing w:after="0" w:line="286" w:lineRule="auto"/>
        <w:rPr>
          <w:sz w:val="20"/>
          <w:szCs w:val="20"/>
          <w:color w:val="auto"/>
        </w:rPr>
      </w:pPr>
      <w:r>
        <w:rPr>
          <w:rFonts w:ascii="Arial" w:cs="Arial" w:eastAsia="Arial" w:hAnsi="Arial"/>
          <w:sz w:val="16"/>
          <w:szCs w:val="16"/>
          <w:color w:val="auto"/>
        </w:rPr>
        <w:t>We face intense competition in the marketplace and are confronted by rapidly changing technology, evolving industry standards, consumer preferences, regulatory changes and the frequent introduction of new solutions by our competitors to which we must adapt and address. We need to continuously update our platform and the technology in which we invest and develop, including our machine learning and other proprietary algorithms, in order to attract publishers and advertisers and stay ahead of changes in technology, evolving industry standards and regulatory requirements. Our platform is complex and new solutions can require a significant investment of time and resources to develop, test, introduce and enhance. These activities can take longer than we expect and we may not make the right decisions regarding our pursuit of these investments. New formats and channels, such as mobile header bidding and CTV, present unique challenges and our success in new formats and channels depends upon our ability to integrate them with our platform. If our mobile and video solutions or our CTV solutions are not widely adopted by advertisers and publishers, we may not retain advertisers and publishers. In addition, new demands from advertisers or publishers, superior offerings by competitors, changes in technology, or new industry standards or regulatory requirements could render our platform or our existing solutions less effective and require us to make unanticipated changes to our platform or business model. Furthermore, our focus on our end-to-end platform may decrease our responsiveness and agility to respond to changes or innovations specific to either our DSP or SSP solutions. Our failure to adapt to a rapidly changing market, anticipate changing demand, or attract and retain advertisers or publishers would cause our revenue or revenue growth rate to decline and adversely affect our business, results of operations and financial condition.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Significant parts of our business depend on relationships with data providers for data sets used to deliver targeted campaigns.</w:t>
      </w:r>
    </w:p>
    <w:p>
      <w:pPr>
        <w:spacing w:after="0" w:line="225" w:lineRule="exact"/>
        <w:rPr>
          <w:sz w:val="20"/>
          <w:szCs w:val="20"/>
          <w:color w:val="auto"/>
        </w:rPr>
      </w:pPr>
    </w:p>
    <w:p>
      <w:pPr>
        <w:jc w:val="both"/>
        <w:ind w:firstLine="564"/>
        <w:spacing w:after="0" w:line="272" w:lineRule="auto"/>
        <w:rPr>
          <w:sz w:val="20"/>
          <w:szCs w:val="20"/>
          <w:color w:val="auto"/>
        </w:rPr>
      </w:pPr>
      <w:r>
        <w:rPr>
          <w:rFonts w:ascii="Arial" w:cs="Arial" w:eastAsia="Arial" w:hAnsi="Arial"/>
          <w:sz w:val="17"/>
          <w:szCs w:val="17"/>
          <w:color w:val="auto"/>
        </w:rPr>
        <w:t>Our ability to deliver targeted advertising campaigns depends on our ability to acquire effective data sets, which we do through a combination of proprietary data sets as well as data sets that we purchase from third parties. If any third-party data providers decide not to make data sets available to us, decide to increase their price or place significant restrictions on the use of their data, we may not be able to replace this with our own proprietary data sets or those of other third-party providers that satisfy our requirements in a timely and cost-effective manner. In addition, some data set providers in the industry may enter into exclusivity arrangements with our competitors, which could limit our access to a meaningful supply of data and give them a competitive advantage. Any limitations on access to these third-party data sets could impair our ability to deliver effective solutions, which could adversely affect our business, results of operations and financial condition.</w:t>
      </w:r>
    </w:p>
    <w:p>
      <w:pPr>
        <w:spacing w:after="0" w:line="1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business depends on our ability to collect, use and disclose certain data, including CTV data, to deliver advertisements. Any limitation imposed on our collection, use or disclosure of this data could significantly diminish the value of our platform and cause us to lose publishers, advertisers and revenue. Consumer tools, regulatory restrictions and technological limitations all threaten our ability to use and disclose data.</w:t>
      </w:r>
    </w:p>
    <w:p>
      <w:pPr>
        <w:spacing w:after="0" w:line="149" w:lineRule="exact"/>
        <w:rPr>
          <w:sz w:val="20"/>
          <w:szCs w:val="20"/>
          <w:color w:val="auto"/>
        </w:rPr>
      </w:pPr>
    </w:p>
    <w:p>
      <w:pPr>
        <w:jc w:val="both"/>
        <w:ind w:firstLine="694"/>
        <w:spacing w:after="0" w:line="254" w:lineRule="auto"/>
        <w:rPr>
          <w:sz w:val="20"/>
          <w:szCs w:val="20"/>
          <w:color w:val="auto"/>
        </w:rPr>
      </w:pPr>
      <w:r>
        <w:rPr>
          <w:rFonts w:ascii="Arial" w:cs="Arial" w:eastAsia="Arial" w:hAnsi="Arial"/>
          <w:sz w:val="18"/>
          <w:szCs w:val="18"/>
          <w:color w:val="auto"/>
        </w:rPr>
        <w:t>As we process transactions through our platform, we collect large amounts of data about advertisements and where they are placed, such as consumer, advertiser and publisher preferences for media and advertising content. We also collect data on ad specifications such as ad placement, size and format, ad pricing and auction activity such as price floors, bid response behavior and clearing prices. Further, we collect certain data from consumers that, while not identifying the individual, does include browser, device location and characteristics, online browsing behavior, exposure to and interaction with advertisements, and inferential data about purchase intentions and preferences. We collect this data through various means, including from our own systems, pixels that publishers allow us to place on their websites to track consumer visits, software development kits installed in mobile applications, cookies and other tracking technologies. Our publishers, advertisers and data providers may also choose to provide us with their proprietary data about consumers.</w:t>
      </w:r>
    </w:p>
    <w:p>
      <w:pPr>
        <w:spacing w:after="0" w:line="192" w:lineRule="exact"/>
        <w:rPr>
          <w:sz w:val="20"/>
          <w:szCs w:val="20"/>
          <w:color w:val="auto"/>
        </w:rPr>
      </w:pPr>
    </w:p>
    <w:p>
      <w:pPr>
        <w:jc w:val="both"/>
        <w:ind w:firstLine="450"/>
        <w:spacing w:after="0" w:line="285" w:lineRule="auto"/>
        <w:rPr>
          <w:sz w:val="20"/>
          <w:szCs w:val="20"/>
          <w:color w:val="auto"/>
        </w:rPr>
      </w:pPr>
      <w:r>
        <w:rPr>
          <w:rFonts w:ascii="Arial" w:cs="Arial" w:eastAsia="Arial" w:hAnsi="Arial"/>
          <w:sz w:val="16"/>
          <w:szCs w:val="16"/>
          <w:color w:val="auto"/>
        </w:rPr>
        <w:t>We aggregate this data and analyze it in order to enhance our services, including the pricing, placement and delivery of advertisements. As part of our real-time analytics service offering we also share the data, or analyses based on such data, with our publishers and advertisers. Our ability to collect, use and share data about advertising transactions and consumer behavior is critical to the value of our services. There are many technical challenges relating to our ability to collect, aggregate, use and store the data, and we cannot assure you that we will be able to do so effectively. Evolving regulatory standards, high profile investigations, and increased regulatory scrutiny of AdTech frameworks, cookies, and online consent mechanisms more broadly could place restrictions on the collection, aggregation, use and storage of information, which could result in a material increase in the cost of collecting or otherwise obtaining certain kinds of data and could limit the ways in which we may use or disclose information. There has been increased enforcement activity in the United Kingdom and Europe involving the AdTech industry. For instance, a recent decision by the Belgium Data Protection Authority concerning the “Transparency and Consent Framework” (“TCF”) (a widely used mechanism to manage user preferences relating to targeted online advertising, developed by the IAB, an AdTech trade body), found that the TCF violates the GDPR and fined the IAB EUR 250,000. The IAB has been given a period of time to take corrective measures to bring the TCF into compliance with GDPR requirements and we are monitoring developments with respect to this decision. Consumers can, with increasing ease, implement practices or technologies that may limit our ability to collect and use data to deliver advertisements, or otherwise inhibit the effectiveness of our platform, including opt out capabilities offered by various mobile applications, CTV manufacturers and web browsers, as well as data deletion request mechanisms offered by us to consumers, following IDEA and GDPR protocols. Although our publishers and advertisers generally permit us to aggregate and use data from advertising placements, subject to certain restrictions, existing or future publishers or advertisers might decide to restrict our collection or use of their data. Any limitations could impair our ability to deliver effective solutions, which could adversely affect our business, results of operations and financial condition.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both"/>
        <w:spacing w:after="0" w:line="263" w:lineRule="auto"/>
        <w:rPr>
          <w:sz w:val="20"/>
          <w:szCs w:val="20"/>
          <w:color w:val="auto"/>
        </w:rPr>
      </w:pPr>
      <w:r>
        <w:rPr>
          <w:rFonts w:ascii="Arial" w:cs="Arial" w:eastAsia="Arial" w:hAnsi="Arial"/>
          <w:sz w:val="18"/>
          <w:szCs w:val="18"/>
          <w:b w:val="1"/>
          <w:bCs w:val="1"/>
          <w:i w:val="1"/>
          <w:iCs w:val="1"/>
          <w:color w:val="auto"/>
        </w:rPr>
        <w:t>If the use of third-party “cookies,” mobile device IDs, CTV data collection or other tracking technologies is restricted without similar or better alternatives (and adoption of such alternatives), our platform’s effectiveness could be diminished and our business, results of operations and financial condition could be adversely affected.</w:t>
      </w:r>
    </w:p>
    <w:p>
      <w:pPr>
        <w:spacing w:after="0" w:line="184" w:lineRule="exact"/>
        <w:rPr>
          <w:sz w:val="20"/>
          <w:szCs w:val="20"/>
          <w:color w:val="auto"/>
        </w:rPr>
      </w:pPr>
    </w:p>
    <w:p>
      <w:pPr>
        <w:jc w:val="both"/>
        <w:ind w:firstLine="549"/>
        <w:spacing w:after="0" w:line="268" w:lineRule="auto"/>
        <w:rPr>
          <w:sz w:val="20"/>
          <w:szCs w:val="20"/>
          <w:color w:val="auto"/>
        </w:rPr>
      </w:pPr>
      <w:r>
        <w:rPr>
          <w:rFonts w:ascii="Arial" w:cs="Arial" w:eastAsia="Arial" w:hAnsi="Arial"/>
          <w:sz w:val="17"/>
          <w:szCs w:val="17"/>
          <w:color w:val="auto"/>
        </w:rPr>
        <w:t>We use “cookies,” or small text files placed on consumer devices when an Internet browser is used, as well as mobile device identifiers and CTV data collection devices, to gather data that enables our platform to be more effective. Our cookies, mobile device IDs and CTV data collection devices do not identify consumers directly but rather record information, such as when a consumer views or clicks on an advertisement, when a consumer uses a mobile app, the consumer’s location and browser or other device information. Publishers and partners may also choose to share their information about consumers’ interests or give us permission to use their cookies and mobile device IDs. We use data from cookies, mobile device IDs, CTV data collection devices and other tracking technologies to help advertisers decide whether to bid on, and how to price, an ad impression in a certain location, at a given time, for a particular consumer. Without cookies, mobile device IDs, CTV data collection devices and other tracking technology data, transactions processed through our platform would be executed with less insight into consumer activity, reducing the precision of advertisers’ decisions about which impressions to purchase for an advertising campaign and limiting our reporting capabilities. This could make placement of advertising through our platform less valuable and harm our revenue. If our ability to use cookies, mobile device IDs, CTV data collection devices or other tracking technologies is limited, we may be required to develop or obtain additional applications and technologies to compensate for the lack of cookies, mobile device IDs, CTV data collection devices and other tracking technology data, which could be time consuming or costly to develop, less effective and subject to additional regulation.</w:t>
      </w:r>
    </w:p>
    <w:p>
      <w:pPr>
        <w:spacing w:after="0" w:line="1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failure to meet content and inventory standards and provide services that our advertisers and publishers trust could harm our brand and reputation and negatively impact our business, operating results and financial condition.</w:t>
      </w:r>
    </w:p>
    <w:p>
      <w:pPr>
        <w:spacing w:after="0" w:line="170" w:lineRule="exact"/>
        <w:rPr>
          <w:sz w:val="20"/>
          <w:szCs w:val="20"/>
          <w:color w:val="auto"/>
        </w:rPr>
      </w:pPr>
    </w:p>
    <w:p>
      <w:pPr>
        <w:jc w:val="both"/>
        <w:ind w:firstLine="607"/>
        <w:spacing w:after="0" w:line="287" w:lineRule="auto"/>
        <w:rPr>
          <w:sz w:val="20"/>
          <w:szCs w:val="20"/>
          <w:color w:val="auto"/>
        </w:rPr>
      </w:pPr>
      <w:r>
        <w:rPr>
          <w:rFonts w:ascii="Arial" w:cs="Arial" w:eastAsia="Arial" w:hAnsi="Arial"/>
          <w:sz w:val="16"/>
          <w:szCs w:val="16"/>
          <w:color w:val="auto"/>
        </w:rPr>
        <w:t>We do not provide or control the content of advertisements or that of the digital media providing inventory. Advertisers provide the advertising content and publishers provide the inventory content. Both advertisers and publishers are concerned about being associated with content they consider inappropriate, competitive or inconsistent with their brands, or illegal, and they are hesitant to spend money or make inventory available without guaranteed brand and content security. Consequently, our reputation depends, in part, on providing services that our advertisers and publishers trust and we have contractual obligations to meet certain content and inventory standards. We use commercially reasonable efforts to contractually prohibit the misuse of our platform by agencies (and their marketer customers) and publishers; however, we are not always successful in achieving a fulsome level of protection. Despite such efforts, advertisers may inadvertently purchase inventory that proves to be unacceptable for their campaigns, in which case we may not be able to collect revenue or recoup the amounts paid to publishers. Furthermore, the standards by which an advertiser or a publisher may consider an advertising placement or inventory content offensive or inappropriate are constantly changing and our contractual agreements are not always able to anticipate fully the preferences of our advertisers and publishers. Our advertisers could intentionally run campaigns that do not meet the standards of our publishers or attempt to use illegal or unethical targeting practices or seek to display advertising in jurisdictions that do not permit such advertising or in which the regulatory environment is uncertain, in which case our supply of ad inventory from such suppliers could be jeopardized.</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must grow rapidly to remain a market leader and to accomplish our strategic objectives. If we fail to grow, or fail to manage our growth effectively, the value of our company may decline.</w:t>
      </w:r>
    </w:p>
    <w:p>
      <w:pPr>
        <w:spacing w:after="0" w:line="170"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advertising technology market is dynamic, and our success depends upon the continued adoption of programmatic advertising and our ability to develop innovative new technologies and solutions for the evolving needs of advertisers and digital media property owners. We need to grow significantly to develop the market reach and scale necessary to compete effectively with large competitors. This growth depends to a significant degree upon the quality of our strategic vision and planning. The advertising market is evolving rapidly, and if we make strategic errors, there is a significant risk that we will lose our competitive position and be unable to recover and achieve our objectives. Our ability to grow requires access to, and prudent deployment of, capital for hiring, expansion of physical infrastructure to run our platform, acquisition of companies or technologies, and development and integration of supporting sales, marketing, finance, administrative and managerial infrastructure. Further, the growth we are pursuing may strain our resources. If we are not able to innovate and grow successfully, the value of our business may be adversely affected.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b w:val="1"/>
          <w:bCs w:val="1"/>
          <w:i w:val="1"/>
          <w:iCs w:val="1"/>
          <w:color w:val="auto"/>
        </w:rPr>
        <w:t>The market for programmatic buying for advertising campaigns is relatively new and evolving. If this market develops slower or differently than we expect, our business, operating results and financial condition could be adversely affected.</w:t>
      </w:r>
    </w:p>
    <w:p>
      <w:pPr>
        <w:spacing w:after="0" w:line="170" w:lineRule="exact"/>
        <w:rPr>
          <w:sz w:val="20"/>
          <w:szCs w:val="20"/>
          <w:color w:val="auto"/>
        </w:rPr>
      </w:pPr>
    </w:p>
    <w:p>
      <w:pPr>
        <w:jc w:val="both"/>
        <w:ind w:firstLine="499"/>
        <w:spacing w:after="0" w:line="273" w:lineRule="auto"/>
        <w:rPr>
          <w:sz w:val="20"/>
          <w:szCs w:val="20"/>
          <w:color w:val="auto"/>
        </w:rPr>
      </w:pPr>
      <w:r>
        <w:rPr>
          <w:rFonts w:ascii="Arial" w:cs="Arial" w:eastAsia="Arial" w:hAnsi="Arial"/>
          <w:sz w:val="17"/>
          <w:szCs w:val="17"/>
          <w:color w:val="auto"/>
        </w:rPr>
        <w:t>We derive revenue from the programmatic advertising on our end-to-end platform. We expect that programmatic advertising will continue to be our primary source of revenue for the foreseeable future and that our revenue growth will largely depend on increasing our customers’ usage of our platform. While the market for programmatic advertising for desktop and mobile is relatively established, the market in other channels is still emerging, and our current and potential customers may not shift quickly enough to programmatic advertising from other buying methods, which would reduce our growth potential. If the market for programmatic advertising deteriorates or develops more slowly than we expect, it could reduce demand for our platform and our business, growth prospects and financial condition could be adversely affected.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detect or prevent fraud on our platform, or malware intrusion into the systems or devices of our publishers and their consumers, publishers could lose confidence in our platform and we could face legal claims that could adversely affect our business, results of operations and financial condition.</w:t>
      </w:r>
    </w:p>
    <w:p>
      <w:pPr>
        <w:spacing w:after="0" w:line="184" w:lineRule="exact"/>
        <w:rPr>
          <w:sz w:val="20"/>
          <w:szCs w:val="20"/>
          <w:color w:val="auto"/>
        </w:rPr>
      </w:pPr>
    </w:p>
    <w:p>
      <w:pPr>
        <w:jc w:val="both"/>
        <w:ind w:firstLine="594"/>
        <w:spacing w:after="0" w:line="289" w:lineRule="auto"/>
        <w:rPr>
          <w:sz w:val="20"/>
          <w:szCs w:val="20"/>
          <w:color w:val="auto"/>
        </w:rPr>
      </w:pPr>
      <w:r>
        <w:rPr>
          <w:rFonts w:ascii="Arial" w:cs="Arial" w:eastAsia="Arial" w:hAnsi="Arial"/>
          <w:sz w:val="16"/>
          <w:szCs w:val="16"/>
          <w:color w:val="auto"/>
        </w:rPr>
        <w:t>We may be subject to fraudulent or malicious activities undertaken by persons seeking to use our platform for improper purposes. For example, someone may attempt to divert or artificially inflate advertiser purchases through our platform, or to disrupt or divert the operation of the systems and devices of our publishers, and their consumers in order to misappropriate information, generate fraudulent billings or stage cyberattacks, or for other illicit purposes. We use our proprietary technology and third-party services to, and we participate in industry co-ops that work to, detect malware and other content issues as well as click fraud (whether by humans or software known as “bots”) and to block fraudulent inventory. Preventing and combating fraud is an industry- wide issue that requires constant vigilance, as well as a balancing of cost effectiveness and risk, and we cannot guarantee that we will be successful in our efforts to combat fraud. We may provide access to inventory that is objectionable to our advertisers or we may serve advertising that contains malware or objectionable content to our publishers, which could harm our and our advertisers’ and publishers’ reputation, causing them to scale-back or terminate their relationship with us, or otherwise negatively impact our business, operating results and financial condition.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use of digital advertising is rejected by consumers, through opt-in, opt-out or ad-blocking technologies or other means, it could have an adverse effect on our business, results of operations and financial condition.</w:t>
      </w:r>
    </w:p>
    <w:p>
      <w:pPr>
        <w:spacing w:after="0" w:line="170"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Consumers can, with increasing ease, implement technologies that limit our ability to collect and use data to deliver advertisements, or otherwise limit the effectiveness of our platform. Cookies may be deleted or blocked by consumers. The most commonly used Internet browsers allow consumers to modify their browser settings to block first-party cookies (placed directly by the publisher or website owner that the consumer intends to interact with) or third-party cookies (placed by parties, like us, that have no direct relationship with the consumer), and some browsers block third-party cookies by default. For example, Apple recently moved to “opt-in” privacy models, requiring consumers to voluntarily choose to receive targeted ads, which may reduce the value of inventory on its iOS mobile application platform. Many applications and other devices allow consumers to avoid receiving advertisements by paying for subscriptions or other downloads. Mobile devices using Android and iOS operating systems limit the ability of cookies to track consumers while they are using applications other than their web browser on the device. As a consequence, fewer of our cookies or publishers’ cookies may be set in browsers or be accessible in mobile devices, which could adversely affect our business.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both"/>
        <w:ind w:firstLine="528"/>
        <w:spacing w:after="0" w:line="253" w:lineRule="auto"/>
        <w:rPr>
          <w:sz w:val="20"/>
          <w:szCs w:val="20"/>
          <w:color w:val="auto"/>
        </w:rPr>
      </w:pPr>
      <w:r>
        <w:rPr>
          <w:rFonts w:ascii="Arial" w:cs="Arial" w:eastAsia="Arial" w:hAnsi="Arial"/>
          <w:sz w:val="18"/>
          <w:szCs w:val="18"/>
          <w:color w:val="auto"/>
        </w:rPr>
        <w:t>Some consumers also download free or paid “ad blocking” software on their computers or mobile devices, not only for privacy reasons but also to counteract the adverse effect advertisements can have on the consumer experience, including increased load times, data consumption and screen overcrowding. If more consumers adopt these measures, our business, results of operations and financial condition could be adversely affected. Ad-blocking technologies could have an adverse effect on our business, results of operations and financial condition if they reduce the volume or effectiveness and value of advertising. In addition, some ad blocking technologies only block ads that are targeted through use of third-party data, while allowing ads based on first- party data (i.e., data owned by the publisher). These ad blockers could place us at a disadvantage because we rely heavily on third-party data, while some large competitors have troves of first-party data they use to direct advertising. Other technologies allow ads that are deemed “acceptable,” which could be defined in ways that place us or our publishers at a disadvantage, particularly if such technologies are controlled or influenced by our competitors. Even if ad blockers do not ultimately have an adverse effect on our business, investor concerns about ad blockers could cause our stock price to decline.</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must scale our platform infrastructure to support anticipated growth and transaction volume. If we fail to do so, we may limit our ability to process inventory and we may lose revenue.</w:t>
      </w:r>
    </w:p>
    <w:p>
      <w:pPr>
        <w:spacing w:after="0" w:line="170" w:lineRule="exact"/>
        <w:rPr>
          <w:sz w:val="20"/>
          <w:szCs w:val="20"/>
          <w:color w:val="auto"/>
        </w:rPr>
      </w:pPr>
    </w:p>
    <w:p>
      <w:pPr>
        <w:jc w:val="both"/>
        <w:ind w:firstLine="504"/>
        <w:spacing w:after="0" w:line="257" w:lineRule="auto"/>
        <w:rPr>
          <w:sz w:val="20"/>
          <w:szCs w:val="20"/>
          <w:color w:val="auto"/>
        </w:rPr>
      </w:pPr>
      <w:r>
        <w:rPr>
          <w:rFonts w:ascii="Arial" w:cs="Arial" w:eastAsia="Arial" w:hAnsi="Arial"/>
          <w:sz w:val="18"/>
          <w:szCs w:val="18"/>
          <w:color w:val="auto"/>
        </w:rPr>
        <w:t>Our business depends on processing inventory in milliseconds, and we must handle an increasingly large volume of such transactions. The addition of new solutions, such as header bidding in mobile and CTV formats, support of evolving advertising formats, handling and use of increasing amounts of data, and overall growth in impressions place growing demands upon our platform infrastructure. If we are unable to grow our platform to support substantial increases in the number of transactions and in the amount of data we process, on a high- performance, cost-effective basis, our business, results of operations and financial condition could be adversely affected.</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Disruptions to service from our third-party data center hosting facilities and cloud computing and hosting providers could impair the delivery of our services and harm our business.</w:t>
      </w:r>
    </w:p>
    <w:p>
      <w:pPr>
        <w:spacing w:after="0" w:line="170"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7"/>
          <w:szCs w:val="17"/>
          <w:color w:val="auto"/>
        </w:rPr>
        <w:t>A significant portion of our business relies upon hardware and services that are hosted, managed and controlled by third-party co-location providers for our data centers, and we are dependent on these third-parties to provide continuous power, cooling, Internet connectivity and physical and technological security for our servers. In the event that these third-party providers experience any interruption in operations or cease business for any reason, or if we are unable to agree on satisfactory terms for continued hosting relationships, we would be forced to enter into a relationship with other service providers or assume some hosting responsibilities ourselves. Even a disruption as brief as a few minutes could have a negative impact on marketplace activities and could result in a loss of revenue. These facilities may be located in areas prone to natural disasters and may experience catastrophic events such as earthquakes, fires, floods, power loss, telecommunications failures, public health crises and similar events. They may also be subject to break-ins, sabotage, intentional acts of vandalism, cyber- attacks and similar misconduct. Although we have made certain disaster recovery and business continuity arrangements, such events could cause damage to, or failure of, our systems generally, or those of the third-party cloud computing and hosting providers, which could result in disruptions to our service.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liability and harm to our business based on the human factor of inputting information into our platform.</w:t>
      </w:r>
    </w:p>
    <w:p>
      <w:pPr>
        <w:spacing w:after="0" w:line="225" w:lineRule="exact"/>
        <w:rPr>
          <w:sz w:val="20"/>
          <w:szCs w:val="20"/>
          <w:color w:val="auto"/>
        </w:rPr>
      </w:pPr>
    </w:p>
    <w:p>
      <w:pPr>
        <w:jc w:val="both"/>
        <w:ind w:firstLine="627"/>
        <w:spacing w:after="0" w:line="273" w:lineRule="auto"/>
        <w:rPr>
          <w:sz w:val="20"/>
          <w:szCs w:val="20"/>
          <w:color w:val="auto"/>
        </w:rPr>
      </w:pPr>
      <w:r>
        <w:rPr>
          <w:rFonts w:ascii="Arial" w:cs="Arial" w:eastAsia="Arial" w:hAnsi="Arial"/>
          <w:sz w:val="17"/>
          <w:szCs w:val="17"/>
          <w:color w:val="auto"/>
        </w:rPr>
        <w:t>We or our customers set up campaigns on our platform using a number of available variables. While our platform includes several checks and balances, it is possible for human error to result in significant over- spending. We offer a number of protections such as daily or overall spending caps, but despite these protections, the ability for overspend exists. For example, campaigns which last for a period of time can be set to pace evenly or as quickly as possible. If a customer with a high credit limit enters an incorrect daily cap with a campaign set to a rapid pace, it is possible for a campaign to accidently go significantly over budget. While our customer contracts state that customers are responsible for media purchased through our platform, we are ultimately responsible for paying the inventory providers and we may be unable to collect when such issues occur.</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Any failure to protect our intellectual property rights could negatively impact our business.</w:t>
      </w:r>
    </w:p>
    <w:p>
      <w:pPr>
        <w:spacing w:after="0" w:line="225" w:lineRule="exact"/>
        <w:rPr>
          <w:sz w:val="20"/>
          <w:szCs w:val="20"/>
          <w:color w:val="auto"/>
        </w:rPr>
      </w:pPr>
    </w:p>
    <w:p>
      <w:pPr>
        <w:jc w:val="both"/>
        <w:ind w:firstLine="625"/>
        <w:spacing w:after="0" w:line="269" w:lineRule="auto"/>
        <w:rPr>
          <w:sz w:val="20"/>
          <w:szCs w:val="20"/>
          <w:color w:val="auto"/>
        </w:rPr>
      </w:pPr>
      <w:r>
        <w:rPr>
          <w:rFonts w:ascii="Arial" w:cs="Arial" w:eastAsia="Arial" w:hAnsi="Arial"/>
          <w:sz w:val="17"/>
          <w:szCs w:val="17"/>
          <w:color w:val="auto"/>
        </w:rPr>
        <w:t>We regard the protection of our intellectual property, which includes trade secrets, copyrights, trademarks and domain names, as critical to our success. We strive to protect our intellectual property rights by relying on federal, state and common law rights, as well as contractual restrictions. We generally enter into confidentiality and invention assignment agreements with our employees and contractors and confidentiality agreements with parties with whom we conduct business in order to limit access to, and disclosure and use of, our proprietary information. However, we may not be successful in executing these agreements with every party who has access to our confidential information or contributes to the development of our intellectual property. Those agreements that we do execute may be breached, and we may not have adequate remedies for any such breach. These contractual arrangements and the other steps we have taken to protect our intellectual property may not prevent the misappropriation of our intellectual property, or deter independent development of similar intellectual property by others. Breaches of the security of our solutions, databases or other resources could expose us to a risk of loss or unauthorized disclosure of information collected, stored or transmitted for or on behalf of advertisers or publishers, or of cookies, data stored in cookies, other user information or other proprietary or confidential information.</w:t>
      </w:r>
    </w:p>
    <w:p>
      <w:pPr>
        <w:spacing w:after="0" w:line="185" w:lineRule="exact"/>
        <w:rPr>
          <w:sz w:val="20"/>
          <w:szCs w:val="20"/>
          <w:color w:val="auto"/>
        </w:rPr>
      </w:pPr>
    </w:p>
    <w:p>
      <w:pPr>
        <w:jc w:val="both"/>
        <w:ind w:firstLine="478"/>
        <w:spacing w:after="0" w:line="269" w:lineRule="auto"/>
        <w:rPr>
          <w:sz w:val="20"/>
          <w:szCs w:val="20"/>
          <w:color w:val="auto"/>
        </w:rPr>
      </w:pPr>
      <w:r>
        <w:rPr>
          <w:rFonts w:ascii="Arial" w:cs="Arial" w:eastAsia="Arial" w:hAnsi="Arial"/>
          <w:sz w:val="17"/>
          <w:szCs w:val="17"/>
          <w:color w:val="auto"/>
        </w:rPr>
        <w:t>We register certain domain names, trademarks and service marks in the United States and in certain locations outside the United States. We also rely upon common law protection for certain marks, such as “Tremor Video.” Any of our patents, trademarks or other intellectual property rights may be challenged by others or invalidated through administrative process or litigation. Our competitors and others could attempt to capitalize on our brand recognition by using domain names or business names similar to ours. Domain names and trademarks similar to ours have been registered in the United States and elsewhere. We may be unable to prevent third parties from acquiring or using domain names and other trademarks that infringe on, are similar to, or otherwise decrease the value of our brands, trademarks or service marks. Effective trade secret, copyright, trademark, domain name and patent protection are expensive to develop and maintain, both in terms of initial and ongoing registration requirements and the costs of defending our rights. We may be required to protect our intellectual property in an increasing number of jurisdictions, a process that is expensive and may not be successful or which we may not pursue in every location. We may, over time, increase our investment in protecting our intellectual property through additional filings that could be expensive and time-consuming.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Market in Which We Operate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non-proprietary technology, software, products and services that we use are unavailable, have future terms we cannot agree to or do not perform as we expect, our business, operating results and financial condition could be harmed.</w:t>
      </w:r>
    </w:p>
    <w:p>
      <w:pPr>
        <w:spacing w:after="0" w:line="170" w:lineRule="exact"/>
        <w:rPr>
          <w:sz w:val="20"/>
          <w:szCs w:val="20"/>
          <w:color w:val="auto"/>
        </w:rPr>
      </w:pPr>
    </w:p>
    <w:p>
      <w:pPr>
        <w:jc w:val="both"/>
        <w:ind w:firstLine="500"/>
        <w:spacing w:after="0" w:line="288" w:lineRule="auto"/>
        <w:rPr>
          <w:sz w:val="20"/>
          <w:szCs w:val="20"/>
          <w:color w:val="auto"/>
        </w:rPr>
      </w:pPr>
      <w:r>
        <w:rPr>
          <w:rFonts w:ascii="Arial" w:cs="Arial" w:eastAsia="Arial" w:hAnsi="Arial"/>
          <w:sz w:val="16"/>
          <w:szCs w:val="16"/>
          <w:color w:val="auto"/>
        </w:rPr>
        <w:t>We depend on data sets and various technology, software, products and services from third parties or available as open source, including for critical features and functionality of our platform to deliver targeted advertising campaigns. Our ability to obtain necessary data licenses on commercially reasonable terms is critical to the success of our platform and we could suffer material adverse consequences if we are unable to obtain data through our integrations with data suppliers or if the cost of obtaining such data materially increases. Identifying, negotiating, complying with and integrating with third-party terms and technology are complex, costly and time- consuming matters. Further, in the course of negotiations with third-party providers, we may be required to provide material upfront minimum purchase commitments in order to secure favorable contractual terms. Failure by third-party providers to acquire relevant data sets, or to maintain, support or secure their technology either generally or for our accounts specifically, or downtime, errors or defects in their products or services, could materially and adversely impact our platform, our administrative obligations or other areas of our business. Furthermore, changes in the costs of third-party services may result in us having to replace any third-party providers or their data sets, technology, products or services and could result in outages or difficulties in our ability to provide our services.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jc w:val="both"/>
        <w:spacing w:after="0" w:line="263" w:lineRule="auto"/>
        <w:rPr>
          <w:sz w:val="20"/>
          <w:szCs w:val="20"/>
          <w:color w:val="auto"/>
        </w:rPr>
      </w:pPr>
      <w:r>
        <w:rPr>
          <w:rFonts w:ascii="Arial" w:cs="Arial" w:eastAsia="Arial" w:hAnsi="Arial"/>
          <w:sz w:val="18"/>
          <w:szCs w:val="18"/>
          <w:b w:val="1"/>
          <w:bCs w:val="1"/>
          <w:i w:val="1"/>
          <w:iCs w:val="1"/>
          <w:color w:val="auto"/>
        </w:rPr>
        <w:t>Our revenue and results of operations are highly dependent on the overall demand for advertising. Factors that affect the amount of advertising spending, such as economic downturns, inflation, supply constraints and the COVID-19 pandemic, can make it difficult to predict our revenue and could adversely affect our business, results of operations and financial condition.</w:t>
      </w:r>
    </w:p>
    <w:p>
      <w:pPr>
        <w:spacing w:after="0" w:line="184" w:lineRule="exact"/>
        <w:rPr>
          <w:sz w:val="20"/>
          <w:szCs w:val="20"/>
          <w:color w:val="auto"/>
        </w:rPr>
      </w:pPr>
    </w:p>
    <w:p>
      <w:pPr>
        <w:jc w:val="both"/>
        <w:ind w:firstLine="567"/>
        <w:spacing w:after="0" w:line="253" w:lineRule="auto"/>
        <w:rPr>
          <w:sz w:val="20"/>
          <w:szCs w:val="20"/>
          <w:color w:val="auto"/>
        </w:rPr>
      </w:pPr>
      <w:r>
        <w:rPr>
          <w:rFonts w:ascii="Arial" w:cs="Arial" w:eastAsia="Arial" w:hAnsi="Arial"/>
          <w:sz w:val="18"/>
          <w:szCs w:val="18"/>
          <w:color w:val="auto"/>
        </w:rPr>
        <w:t>Our business depends on the overall demand for advertising and on the economic health of our current and prospective advertisers. Recently, the economic health of advertisers has been impacted by the COVID-19 pandemic and the resulting economic uncertainty in the United States and global economy beginning in the first and second quarters of 2020, and as a result advertising demand on our platform decreased in the first half of 2020, with recovery in the second half of 2020 and 2021, although some verticals have still not recovered. Many advertisers also suffered and continue to do so as a result of supply chain constraints which materially impacted certain verticals. Many marketing budgets, particularly those hardest hit by the pandemic such as travel, retail and hospitality, and those impacted by supply chain constraints such as automotive, decreased or paused their advertising spending as a response to the economic uncertainty, decline in business activity and other COVID-19 related impacts which have, and may continue to have, a negative impact on our revenue and results of operations. Various macroeconomic factors could cause advertisers to reduce their advertising budgets, and may include the following:</w:t>
      </w:r>
    </w:p>
    <w:p>
      <w:pPr>
        <w:spacing w:after="0" w:line="196" w:lineRule="exact"/>
        <w:rPr>
          <w:sz w:val="20"/>
          <w:szCs w:val="20"/>
          <w:color w:val="auto"/>
        </w:rPr>
      </w:pPr>
    </w:p>
    <w:p>
      <w:pPr>
        <w:ind w:left="1620" w:hanging="343"/>
        <w:spacing w:after="0" w:line="27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economic conditions and general uncertainty about economic recovery or growth, particularly in North America where we do most of our business including recession, depression and inflation concerns;</w:t>
      </w:r>
    </w:p>
    <w:p>
      <w:pPr>
        <w:spacing w:after="0" w:line="170" w:lineRule="exact"/>
        <w:rPr>
          <w:rFonts w:ascii="Arial" w:cs="Arial" w:eastAsia="Arial" w:hAnsi="Arial"/>
          <w:sz w:val="18"/>
          <w:szCs w:val="18"/>
          <w:color w:val="auto"/>
        </w:rPr>
      </w:pPr>
    </w:p>
    <w:p>
      <w:pPr>
        <w:ind w:left="1620" w:hanging="343"/>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pricing policies of publishers and competitors;</w:t>
      </w:r>
    </w:p>
    <w:p>
      <w:pPr>
        <w:spacing w:after="0" w:line="225" w:lineRule="exact"/>
        <w:rPr>
          <w:rFonts w:ascii="Arial" w:cs="Arial" w:eastAsia="Arial" w:hAnsi="Arial"/>
          <w:sz w:val="18"/>
          <w:szCs w:val="18"/>
          <w:color w:val="auto"/>
        </w:rPr>
      </w:pPr>
    </w:p>
    <w:p>
      <w:pPr>
        <w:ind w:left="1620" w:hanging="343"/>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instability in political or market conditions generally;</w:t>
      </w:r>
    </w:p>
    <w:p>
      <w:pPr>
        <w:spacing w:after="0" w:line="225" w:lineRule="exact"/>
        <w:rPr>
          <w:rFonts w:ascii="Arial" w:cs="Arial" w:eastAsia="Arial" w:hAnsi="Arial"/>
          <w:sz w:val="18"/>
          <w:szCs w:val="18"/>
          <w:color w:val="auto"/>
        </w:rPr>
      </w:pPr>
    </w:p>
    <w:p>
      <w:pPr>
        <w:ind w:left="1620" w:hanging="343"/>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changes in tax treatment of advertising expenses and the deductibility thereof;</w:t>
      </w:r>
    </w:p>
    <w:p>
      <w:pPr>
        <w:spacing w:after="0" w:line="225" w:lineRule="exact"/>
        <w:rPr>
          <w:rFonts w:ascii="Arial" w:cs="Arial" w:eastAsia="Arial" w:hAnsi="Arial"/>
          <w:sz w:val="18"/>
          <w:szCs w:val="18"/>
          <w:color w:val="auto"/>
        </w:rPr>
      </w:pPr>
    </w:p>
    <w:p>
      <w:pPr>
        <w:ind w:left="1620" w:hanging="343"/>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seasonal nature of advertising spend on digital advertising campaigns; and</w:t>
      </w:r>
    </w:p>
    <w:p>
      <w:pPr>
        <w:spacing w:after="0" w:line="225" w:lineRule="exact"/>
        <w:rPr>
          <w:rFonts w:ascii="Arial" w:cs="Arial" w:eastAsia="Arial" w:hAnsi="Arial"/>
          <w:sz w:val="18"/>
          <w:szCs w:val="18"/>
          <w:color w:val="auto"/>
        </w:rPr>
      </w:pPr>
    </w:p>
    <w:p>
      <w:pPr>
        <w:ind w:left="1620" w:hanging="343"/>
        <w:spacing w:after="0" w:line="277" w:lineRule="auto"/>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and uncertainty in the regulatory and business environment (for example, when Apple or Google change policies for their browsers and operating systems).</w:t>
      </w:r>
    </w:p>
    <w:p>
      <w:pPr>
        <w:spacing w:after="0" w:line="170" w:lineRule="exact"/>
        <w:rPr>
          <w:sz w:val="20"/>
          <w:szCs w:val="20"/>
          <w:color w:val="auto"/>
        </w:rPr>
      </w:pPr>
    </w:p>
    <w:p>
      <w:pPr>
        <w:jc w:val="both"/>
        <w:ind w:firstLine="540"/>
        <w:spacing w:after="0" w:line="277" w:lineRule="auto"/>
        <w:rPr>
          <w:sz w:val="20"/>
          <w:szCs w:val="20"/>
          <w:color w:val="auto"/>
        </w:rPr>
      </w:pPr>
      <w:r>
        <w:rPr>
          <w:rFonts w:ascii="Arial" w:cs="Arial" w:eastAsia="Arial" w:hAnsi="Arial"/>
          <w:sz w:val="18"/>
          <w:szCs w:val="18"/>
          <w:color w:val="auto"/>
        </w:rPr>
        <w:t>Reductions in overall advertising spending as a result of these factors could make it difficult to predict our revenue and could adversely affect our business, results of operations,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global operations subject us to certain risks beyond our control and may adversely affect our financial results.</w:t>
      </w:r>
    </w:p>
    <w:p>
      <w:pPr>
        <w:spacing w:after="0" w:line="225" w:lineRule="exact"/>
        <w:rPr>
          <w:sz w:val="20"/>
          <w:szCs w:val="20"/>
          <w:color w:val="auto"/>
        </w:rPr>
      </w:pPr>
    </w:p>
    <w:p>
      <w:pPr>
        <w:jc w:val="both"/>
        <w:ind w:firstLine="546"/>
        <w:spacing w:after="0" w:line="293" w:lineRule="auto"/>
        <w:rPr>
          <w:sz w:val="20"/>
          <w:szCs w:val="20"/>
          <w:color w:val="auto"/>
        </w:rPr>
      </w:pPr>
      <w:r>
        <w:rPr>
          <w:rFonts w:ascii="Arial" w:cs="Arial" w:eastAsia="Arial" w:hAnsi="Arial"/>
          <w:sz w:val="16"/>
          <w:szCs w:val="16"/>
          <w:color w:val="auto"/>
        </w:rPr>
        <w:t>With operations in approximately 14 countries and territories around the world, we are subject to numerous risks outside of our control, including risks arising from political unrest and other political events, including the invasion of Ukraine by Russia, and increasing tensions between China and Taiwan, regional and international hostilities and international responses to these hostilities, strikes and other worker unrest, natural disasters, the impact of global climate change, acts of war, terrorism, international conflict, severe weather conditions, pandemics, including COVID-19, and other global health emergencies, disruptions of infrastructure and utilities, cyberattacks, and other events beyond our control. Although it is not possible to predict such events or their consequences, these events could materially adversely affect our reputation, business and financial results.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extent to which the ongoing COVID-19 pandemic, including the resulting global economic uncertainty, and measures taken in response to the pandemic, could adversely affect our business, results of operations and financial condition will depend on future developments, which are highly uncertain and difficult to predict.</w:t>
      </w:r>
    </w:p>
    <w:p>
      <w:pPr>
        <w:spacing w:after="0" w:line="184" w:lineRule="exact"/>
        <w:rPr>
          <w:sz w:val="20"/>
          <w:szCs w:val="20"/>
          <w:color w:val="auto"/>
        </w:rPr>
      </w:pPr>
    </w:p>
    <w:p>
      <w:pPr>
        <w:jc w:val="both"/>
        <w:ind w:firstLine="522"/>
        <w:spacing w:after="0" w:line="271" w:lineRule="auto"/>
        <w:rPr>
          <w:sz w:val="20"/>
          <w:szCs w:val="20"/>
          <w:color w:val="auto"/>
        </w:rPr>
      </w:pPr>
      <w:r>
        <w:rPr>
          <w:rFonts w:ascii="Arial" w:cs="Arial" w:eastAsia="Arial" w:hAnsi="Arial"/>
          <w:sz w:val="17"/>
          <w:szCs w:val="17"/>
          <w:color w:val="auto"/>
        </w:rPr>
        <w:t>Our business and operations have been and could in the future be adversely affected by health epidemics, such as the global COVID-19 pandemic. The COVID-19 pandemic and efforts to control its spread have curtailed the movement of people, goods and services worldwide, including in the regions in which we and our customers operate, and are significantly impacting economic activity and financial markets. Many marketers, particularly those in the travel, retail and hospitality industries, have decreased or paused their advertising spending as a response to the economic uncertainty, decline in business activity, and other COVID-19-related impacts, which has negatively impacted, and may continue to negatively impact, our revenue and results of operations, the extent and duration of which we may not be able to accurately predict. The spread of an infectious disease may also result in, and, in the case of the COVID-19 pandemic has resulted in, regional quarantines, labor shortages or stoppages, changes in consumer purchasing patterns, disruptions to service providers’ ability to deliver data on a timely basis, or at all, and overall economic instability.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both"/>
        <w:ind w:firstLine="534"/>
        <w:spacing w:after="0" w:line="270" w:lineRule="auto"/>
        <w:rPr>
          <w:sz w:val="20"/>
          <w:szCs w:val="20"/>
          <w:color w:val="auto"/>
        </w:rPr>
      </w:pPr>
      <w:r>
        <w:rPr>
          <w:rFonts w:ascii="Arial" w:cs="Arial" w:eastAsia="Arial" w:hAnsi="Arial"/>
          <w:sz w:val="17"/>
          <w:szCs w:val="17"/>
          <w:color w:val="auto"/>
        </w:rPr>
        <w:t>A recession, depression, excessive inflation or other sustained adverse market events resulting from the spread of COVID-19 could materially and adversely affect our business and that of our customers or potential customers. Our customers’ and potential customers’ businesses or cash flows have been and may continue to be negatively impacted by the COVID-19 pandemic, which has led and may continue to lead them to reduce their advertising spending and delay their advertising initiatives or technology spending, or attempt to renegotiate contracts and obtain concessions, which may materially and negatively impact our business, operating results and financial condition. Advertisers may also seek adjustments to their payment terms, delay making payments or default on their payables, any of which may impact the timely receipt and/or collectability of our receivables. Typically, we are contractually required to pay advertising inventory and data suppliers within a negotiated period of time, regardless of whether our customers pay us on time, or at all, and we may not be able to renegotiate better terms. As a result, our financial condition and results of operations may be adversely impacted if the business or financial condition of advertisers and marketers is negatively affected by the pandemic.</w:t>
      </w:r>
    </w:p>
    <w:p>
      <w:pPr>
        <w:spacing w:after="0" w:line="181" w:lineRule="exact"/>
        <w:rPr>
          <w:sz w:val="20"/>
          <w:szCs w:val="20"/>
          <w:color w:val="auto"/>
        </w:rPr>
      </w:pPr>
    </w:p>
    <w:p>
      <w:pPr>
        <w:jc w:val="both"/>
        <w:ind w:firstLine="708"/>
        <w:spacing w:after="0" w:line="273" w:lineRule="auto"/>
        <w:rPr>
          <w:sz w:val="20"/>
          <w:szCs w:val="20"/>
          <w:color w:val="auto"/>
        </w:rPr>
      </w:pPr>
      <w:r>
        <w:rPr>
          <w:rFonts w:ascii="Arial" w:cs="Arial" w:eastAsia="Arial" w:hAnsi="Arial"/>
          <w:sz w:val="17"/>
          <w:szCs w:val="17"/>
          <w:color w:val="auto"/>
        </w:rPr>
        <w:t>Our operations are subject to a range of external factors related to the COVID-19 pandemic that are not within our control. We have taken precautionary measures intended to minimize the risk of the spread of the virus to our employees and the communities in which we operate. Varying governmental restrictions have been periodically imposed on our employees’ physical movement to limit the spread of COVID-19. There can be no assurance that precautionary measures, whether adopted by us or imposed by others, will be effective, and such measures could negatively affect our sales, marketing, and customer service efforts, delay and lengthen our sales cycles, decrease our employees’ productivity, or create operational or other challenges, any of which could harm our business, operating results and financial condition.</w:t>
      </w:r>
    </w:p>
    <w:p>
      <w:pPr>
        <w:spacing w:after="0" w:line="178" w:lineRule="exact"/>
        <w:rPr>
          <w:sz w:val="20"/>
          <w:szCs w:val="20"/>
          <w:color w:val="auto"/>
        </w:rPr>
      </w:pPr>
    </w:p>
    <w:p>
      <w:pPr>
        <w:jc w:val="both"/>
        <w:ind w:firstLine="657"/>
        <w:spacing w:after="0" w:line="287" w:lineRule="auto"/>
        <w:rPr>
          <w:sz w:val="20"/>
          <w:szCs w:val="20"/>
          <w:color w:val="auto"/>
        </w:rPr>
      </w:pPr>
      <w:r>
        <w:rPr>
          <w:rFonts w:ascii="Arial" w:cs="Arial" w:eastAsia="Arial" w:hAnsi="Arial"/>
          <w:sz w:val="16"/>
          <w:szCs w:val="16"/>
          <w:color w:val="auto"/>
        </w:rPr>
        <w:t>The economic uncertainty caused by the COVID-19 pandemic has made and may continue to make it difficult for us to forecast revenue and operating results and to make decisions regarding operational cost structures and investments. Our business depends on the overall demand for advertising and on the economic health of advertisers and publishers that benefit from our platform. Economic downturns or unstable market conditions may cause advertisers to decrease their advertising budgets, which could reduce usage of our platform and adversely affect our business, operating results and financial condition. We have committed, and we plan to continue to commit, resources to grow our business, including to expand our employee base and develop our platform, and such investments may not yield anticipated returns, particularly if global business activity continues to be impacted by the COVID-19 pandemic. The duration and extent of the impact from the COVID-19 pandemic depend on future developments that cannot be accurately predicted at this time, and if we are not able to respond to and manage the impact of such events effectively, our business may be harmed. Such future developments may include, among others, the duration and spread of the outbreak, new information that may emerge concerning the severity of COVID-19 and government actions to contain COVID-19 or treat its impact, the level of relief efforts designed to help businesses and consumers, including any declines in such levels, the impact on advertisers and our sales cycles, the impact on advertiser, industry or employee events and the effect on publishers.</w:t>
      </w:r>
    </w:p>
    <w:p>
      <w:pPr>
        <w:spacing w:after="0" w:line="172" w:lineRule="exact"/>
        <w:rPr>
          <w:sz w:val="20"/>
          <w:szCs w:val="20"/>
          <w:color w:val="auto"/>
        </w:rPr>
      </w:pPr>
    </w:p>
    <w:p>
      <w:pPr>
        <w:jc w:val="both"/>
        <w:ind w:firstLine="618"/>
        <w:spacing w:after="0" w:line="263" w:lineRule="auto"/>
        <w:rPr>
          <w:sz w:val="20"/>
          <w:szCs w:val="20"/>
          <w:color w:val="auto"/>
        </w:rPr>
      </w:pPr>
      <w:r>
        <w:rPr>
          <w:rFonts w:ascii="Arial" w:cs="Arial" w:eastAsia="Arial" w:hAnsi="Arial"/>
          <w:sz w:val="18"/>
          <w:szCs w:val="18"/>
          <w:color w:val="auto"/>
        </w:rPr>
        <w:t>Our results may also fluctuate unpredictably as and to the extent there is a recovery from the pandemic and a return to non-pandemic business conditions. We cannot predict the impact of a post-pandemic recovery on the economy, advertisers or consumer media consumption patterns or the degree to which certain trends, such as the growth in demand for CTV, will continue.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decrease in the use of the advertising or publishing channels that we primarily depend on, or failure to expand into emerging channels, could adversely affect our business, results of operations and financial condition.</w:t>
      </w:r>
    </w:p>
    <w:p>
      <w:pPr>
        <w:spacing w:after="0" w:line="17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future growth of our business could be constrained by the level of acceptance and expansion of emerging channels, as well as the continued use and growth of existing channels in which our capabilities are more established. Our revenue growth may depend on our ability to expand within mobile and, in particular, CTV, and we have been, and are continuing to, enhance such channels. We may not be able to accurately predict changes in overall advertiser demand for the channels in which we operate and cannot assure you that our investment in formats will correspond to any such trends. For example, we cannot predict whether the growth in demand for our CTV offering will continue. Any decrease in the use of existing channels, whether due to advertisers or publishers losing confidence in the value or effectiveness of such channels, regulatory restrictions or other causes, or any inability to further penetrate CTV or enter new and emerging advertising channels, could adversely affect our business, results of operations, and financial condition.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b w:val="1"/>
          <w:bCs w:val="1"/>
          <w:i w:val="1"/>
          <w:iCs w:val="1"/>
          <w:color w:val="auto"/>
        </w:rPr>
        <w:t>If CTV develops in ways that prevent advertisements from being delivered to consumers, our business, results of operations and financial condition may be adversely affected.</w:t>
      </w:r>
    </w:p>
    <w:p>
      <w:pPr>
        <w:spacing w:after="0" w:line="170" w:lineRule="exact"/>
        <w:rPr>
          <w:sz w:val="20"/>
          <w:szCs w:val="20"/>
          <w:color w:val="auto"/>
        </w:rPr>
      </w:pPr>
    </w:p>
    <w:p>
      <w:pPr>
        <w:jc w:val="both"/>
        <w:ind w:firstLine="520"/>
        <w:spacing w:after="0" w:line="286" w:lineRule="auto"/>
        <w:rPr>
          <w:sz w:val="20"/>
          <w:szCs w:val="20"/>
          <w:color w:val="auto"/>
        </w:rPr>
      </w:pPr>
      <w:r>
        <w:rPr>
          <w:rFonts w:ascii="Arial" w:cs="Arial" w:eastAsia="Arial" w:hAnsi="Arial"/>
          <w:sz w:val="16"/>
          <w:szCs w:val="16"/>
          <w:color w:val="auto"/>
        </w:rPr>
        <w:t>As online video advertising has continued to scale and evolve, the amount of online video advertising being bought and sold programmatically has increased dramatically; this market continues to grow with the increased popularity of CTV media. However, despite the opportunities created by programmatic advertising, programmatic solutions for CTV publishers are still nascent compared to desktop search and mobile video solutions. Many CTV publishers have backgrounds in cable or broadcast television and have limited experience with digital advertising, and in particular programmatic advertising. For these publishers, it is extremely important to protect the quality of the viewer experience to maintain brand goodwill and ensure that online advertising efforts do not create sales channel conflicts or otherwise detract from their direct sales force. In this regard, programmatic advertising presents a number of potential challenges, including the ability to ensure that ads are brand safe, comply with business rules around competitive separation, are not overly repetitive, are played at the appropriate volume and do not cause delays in load-time of content. We believe that our platform is well-positioned to allow publishers the opportunity to achieve these goals and also reliably achieve “ad potting,” or the placement of the desired number of advertisements in commercial breaks. In fact, we have invested significant time and resources cultivating relationships with CTV publishers to establish best practices and teach them about the benefits of programmatic CTV. While we believe that programmatic advertising will continue to grow as a percentage of overall CTV advertising, there can be no assurance as to the rate at which CTV publishers will adopt programmatic solutions such as ours, if at all, which could adversely affect our business,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in which we participate is intensely competitive, and we may not be able to compete successfully with our current or future competitors.</w:t>
      </w:r>
    </w:p>
    <w:p>
      <w:pPr>
        <w:spacing w:after="0" w:line="260" w:lineRule="exact"/>
        <w:rPr>
          <w:sz w:val="20"/>
          <w:szCs w:val="20"/>
          <w:color w:val="auto"/>
        </w:rPr>
      </w:pPr>
    </w:p>
    <w:p>
      <w:pPr>
        <w:jc w:val="both"/>
        <w:ind w:firstLine="466"/>
        <w:spacing w:after="0" w:line="296" w:lineRule="auto"/>
        <w:rPr>
          <w:sz w:val="20"/>
          <w:szCs w:val="20"/>
          <w:color w:val="auto"/>
        </w:rPr>
      </w:pPr>
      <w:r>
        <w:rPr>
          <w:rFonts w:ascii="Arial" w:cs="Arial" w:eastAsia="Arial" w:hAnsi="Arial"/>
          <w:sz w:val="16"/>
          <w:szCs w:val="16"/>
          <w:color w:val="auto"/>
        </w:rPr>
        <w:t>We operate in a highly competitive and rapidly changing industry. We expect competition to persist and intensify in the future, which could harm our ability to increase revenue and our market share and maintain profitability. New technologies and methods of buying advertising present a dynamic competitive challenge, as market participants develop and offer new products and services, such as analytics, automated media buying and exchanges, aimed at capturing advertising spend or disrupting the digital marketing landscape. Further, our competitors may begin offering similar products or services to those we currently offer, including our end-to-end platform, and our ability to compete effectively could be significantly compromised.</w:t>
      </w:r>
    </w:p>
    <w:p>
      <w:pPr>
        <w:spacing w:after="0" w:line="161" w:lineRule="exact"/>
        <w:rPr>
          <w:sz w:val="20"/>
          <w:szCs w:val="20"/>
          <w:color w:val="auto"/>
        </w:rPr>
      </w:pPr>
    </w:p>
    <w:p>
      <w:pPr>
        <w:jc w:val="both"/>
        <w:ind w:firstLine="554"/>
        <w:spacing w:after="0" w:line="279" w:lineRule="auto"/>
        <w:rPr>
          <w:sz w:val="20"/>
          <w:szCs w:val="20"/>
          <w:color w:val="auto"/>
        </w:rPr>
      </w:pPr>
      <w:r>
        <w:rPr>
          <w:rFonts w:ascii="Arial" w:cs="Arial" w:eastAsia="Arial" w:hAnsi="Arial"/>
          <w:sz w:val="17"/>
          <w:szCs w:val="17"/>
          <w:color w:val="auto"/>
        </w:rPr>
        <w:t>We may also face competition from new companies entering the market, including large established companies and companies that we do not yet know about or do not yet exist. If existing or new companies develop, market or resell competitive high-value products or services that result in additional competition for advertising spend or advertising inventory or if they acquire one of our existing competitors or form a strategic alliance with one of our competitors, our ability to compete effectively could be significantly compromised and our results of operations could be harmed.</w:t>
      </w:r>
    </w:p>
    <w:p>
      <w:pPr>
        <w:spacing w:after="0" w:line="171" w:lineRule="exact"/>
        <w:rPr>
          <w:sz w:val="20"/>
          <w:szCs w:val="20"/>
          <w:color w:val="auto"/>
        </w:rPr>
      </w:pPr>
    </w:p>
    <w:p>
      <w:pPr>
        <w:jc w:val="both"/>
        <w:ind w:firstLine="594"/>
        <w:spacing w:after="0" w:line="254" w:lineRule="auto"/>
        <w:rPr>
          <w:sz w:val="20"/>
          <w:szCs w:val="20"/>
          <w:color w:val="auto"/>
        </w:rPr>
      </w:pPr>
      <w:r>
        <w:rPr>
          <w:rFonts w:ascii="Arial" w:cs="Arial" w:eastAsia="Arial" w:hAnsi="Arial"/>
          <w:sz w:val="18"/>
          <w:szCs w:val="18"/>
          <w:color w:val="auto"/>
        </w:rPr>
        <w:t>Our current and potential competitors may have significantly more financial, technical, marketing and other resources than we have, which may allow them to devote greater resources to the development, promotion, sale and support of their products and services. They may also have more extensive advertiser bases and broader publisher relationships than we have and may be better positioned to execute on advertising conducted over certain channels, such as social media, mobile and video. Some of our competitors may have a longer operating history and greater name recognition. As a result, these competitors may be better able to respond quickly to new technologies, develop deeper advertiser relationships or offer services at lower prices. Any of these developments would make it more difficult for us to sell our platform and could result in increased pricing pressure, increased sales and marketing expense, or the loss of market share.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Seasonal fluctuations in advertising activity could have a material impact on our revenue, cash flow and operating results.</w:t>
      </w:r>
    </w:p>
    <w:p>
      <w:pPr>
        <w:spacing w:after="0" w:line="225" w:lineRule="exact"/>
        <w:rPr>
          <w:sz w:val="20"/>
          <w:szCs w:val="20"/>
          <w:color w:val="auto"/>
        </w:rPr>
      </w:pPr>
    </w:p>
    <w:p>
      <w:pPr>
        <w:jc w:val="both"/>
        <w:ind w:firstLine="585"/>
        <w:spacing w:after="0" w:line="255" w:lineRule="auto"/>
        <w:rPr>
          <w:sz w:val="20"/>
          <w:szCs w:val="20"/>
          <w:color w:val="auto"/>
        </w:rPr>
      </w:pPr>
      <w:r>
        <w:rPr>
          <w:rFonts w:ascii="Arial" w:cs="Arial" w:eastAsia="Arial" w:hAnsi="Arial"/>
          <w:sz w:val="18"/>
          <w:szCs w:val="18"/>
          <w:color w:val="auto"/>
        </w:rPr>
        <w:t>Our revenue, cash flow, operating results and other key operating and performance metrics may vary from quarter to quarter due to the seasonal nature of our customers’ spending on advertising campaigns. For example, in prior years, customers tended to devote more of their advertising budgets to the fourth calendar quarter to coincide with consumer holiday spending. In contrast, the first quarter of the calendar year has typically been the slowest in terms of advertising spend. These patterns may or may not hold true during the COVID-19 pandemic. Political advertising could also cause our revenue to increase during election cycles and decrease during other periods, making it difficult to predict our revenue, cash flow and operating results, all of which could fall below our expectations.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effectively grow and train our sales and support teams, we may be unable to add new customers or increase usage of our platform by our existing customers and our business will be adversely affected.</w:t>
      </w:r>
    </w:p>
    <w:p>
      <w:pPr>
        <w:spacing w:after="0" w:line="170" w:lineRule="exact"/>
        <w:rPr>
          <w:sz w:val="20"/>
          <w:szCs w:val="20"/>
          <w:color w:val="auto"/>
        </w:rPr>
      </w:pPr>
    </w:p>
    <w:p>
      <w:pPr>
        <w:jc w:val="both"/>
        <w:ind w:firstLine="642"/>
        <w:spacing w:after="0" w:line="271" w:lineRule="auto"/>
        <w:rPr>
          <w:sz w:val="20"/>
          <w:szCs w:val="20"/>
          <w:color w:val="auto"/>
        </w:rPr>
      </w:pPr>
      <w:r>
        <w:rPr>
          <w:rFonts w:ascii="Arial" w:cs="Arial" w:eastAsia="Arial" w:hAnsi="Arial"/>
          <w:sz w:val="17"/>
          <w:szCs w:val="17"/>
          <w:color w:val="auto"/>
        </w:rPr>
        <w:t>We are substantially dependent on our sales and support teams to obtain new customers and to increase usage of our platform by our existing customers. We believe that there is significant competition for sales personnel with the skills and technical knowledge that we require. Our ability to achieve revenue growth will depend, in large part, on our success in recruiting, training, integrating and retaining sufficient numbers of sales personnel to support our growth. Due to the complexity of our platform, a significant time lag exists between the hiring date of sales and support personnel and the time when they become fully productive. Our recent and planned hires may not become productive as quickly as we expect, and we may be unable to hire or retain sufficient numbers of qualified individuals in the markets where we do business or plan to do business. If we are unable to hire and train sufficient numbers of effective sales personnel, or the sales personnel are not successful in obtaining new customers or increasing our existing customers’ spend with us, our business may be adversely affected.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170" w:lineRule="exact"/>
        <w:rPr>
          <w:sz w:val="20"/>
          <w:szCs w:val="20"/>
          <w:color w:val="auto"/>
        </w:rPr>
      </w:pPr>
    </w:p>
    <w:p>
      <w:pPr>
        <w:jc w:val="both"/>
        <w:ind w:firstLine="538"/>
        <w:spacing w:after="0" w:line="291" w:lineRule="auto"/>
        <w:rPr>
          <w:sz w:val="20"/>
          <w:szCs w:val="20"/>
          <w:color w:val="auto"/>
        </w:rPr>
      </w:pPr>
      <w:r>
        <w:rPr>
          <w:rFonts w:ascii="Arial" w:cs="Arial" w:eastAsia="Arial" w:hAnsi="Arial"/>
          <w:sz w:val="16"/>
          <w:szCs w:val="16"/>
          <w:color w:val="auto"/>
        </w:rPr>
        <w:t>Following a national referendum and enactment of legislation by the government of the United Kingdom, the United Kingdom formally withdrew from the European Union on January 31, 2020 and ratified a trade and cooperation agreement governing its future relationship with the European Union.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spacing w:after="0" w:line="166" w:lineRule="exact"/>
        <w:rPr>
          <w:sz w:val="20"/>
          <w:szCs w:val="20"/>
          <w:color w:val="auto"/>
        </w:rPr>
      </w:pPr>
    </w:p>
    <w:p>
      <w:pPr>
        <w:jc w:val="both"/>
        <w:ind w:firstLine="530"/>
        <w:spacing w:after="0" w:line="259" w:lineRule="auto"/>
        <w:rPr>
          <w:sz w:val="20"/>
          <w:szCs w:val="20"/>
          <w:color w:val="auto"/>
        </w:rPr>
      </w:pPr>
      <w:r>
        <w:rPr>
          <w:rFonts w:ascii="Arial" w:cs="Arial" w:eastAsia="Arial" w:hAnsi="Arial"/>
          <w:sz w:val="18"/>
          <w:szCs w:val="18"/>
          <w:color w:val="auto"/>
        </w:rPr>
        <w:t>These developments, or the perception that any related developments could occur, have had and may continue to have a material adverse effect on global economic conditions and the stability of global financial markets, and may significantly reduce global market liquidity, restrict the ability of key market participants to operate in certain financial markets or restrict our access to capital. Any of these factors could have a material adverse effect on our business, financial condition and results of operations and reduce the price of our ADSs.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Employees and Location in Israel</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long-term success depends on our ability to operate internationally making us susceptible to risks associated with cross-border sales and operations.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serve advertisements in more than 140 countries and maintain offices in North America, Europe, Asia and Australia. Our expansive global footprint subjects us to a variety of risks and burdens, including:</w:t>
      </w:r>
    </w:p>
    <w:p>
      <w:pPr>
        <w:spacing w:after="0" w:line="170" w:lineRule="exact"/>
        <w:rPr>
          <w:sz w:val="20"/>
          <w:szCs w:val="20"/>
          <w:color w:val="auto"/>
        </w:rPr>
      </w:pPr>
    </w:p>
    <w:p>
      <w:pPr>
        <w:ind w:left="5540" w:right="200" w:hanging="4263"/>
        <w:spacing w:after="0" w:line="731" w:lineRule="auto"/>
        <w:tabs>
          <w:tab w:leader="none" w:pos="16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need to localize our solutions, including product customizations and adaptation for local practices and regulatory requirements;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both"/>
        <w:ind w:left="1620" w:hanging="343"/>
        <w:spacing w:after="0" w:line="257"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familiarity and burdens of ongoing compliance with local laws, legal standards, regulatory requirements, tariffs, customs formalities and other barriers, including restrictions on advertising practices, regulations governing online services, restrictions on importation or shipping of specified or proscribed items, importation quotas, shopper protection laws, enforcement of intellectual property rights, laws dealing with shopper and data protection, privacy, encryption, denied parties and sanctions, and restrictions on pricing or discounts;</w:t>
      </w:r>
    </w:p>
    <w:p>
      <w:pPr>
        <w:spacing w:after="0" w:line="187" w:lineRule="exact"/>
        <w:rPr>
          <w:rFonts w:ascii="Arial" w:cs="Arial" w:eastAsia="Arial" w:hAnsi="Arial"/>
          <w:sz w:val="18"/>
          <w:szCs w:val="18"/>
          <w:color w:val="auto"/>
        </w:rPr>
      </w:pPr>
    </w:p>
    <w:p>
      <w:pPr>
        <w:ind w:left="1620" w:hanging="343"/>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heightened exposure to fraud;</w:t>
      </w:r>
    </w:p>
    <w:p>
      <w:pPr>
        <w:spacing w:after="0" w:line="225" w:lineRule="exact"/>
        <w:rPr>
          <w:rFonts w:ascii="Arial" w:cs="Arial" w:eastAsia="Arial" w:hAnsi="Arial"/>
          <w:sz w:val="18"/>
          <w:szCs w:val="18"/>
          <w:color w:val="auto"/>
        </w:rPr>
      </w:pPr>
    </w:p>
    <w:p>
      <w:pPr>
        <w:ind w:left="1620" w:hanging="343"/>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legal uncertainty in foreign countries with less developed legal systems;</w:t>
      </w:r>
    </w:p>
    <w:p>
      <w:pPr>
        <w:spacing w:after="0" w:line="225" w:lineRule="exact"/>
        <w:rPr>
          <w:rFonts w:ascii="Arial" w:cs="Arial" w:eastAsia="Arial" w:hAnsi="Arial"/>
          <w:sz w:val="18"/>
          <w:szCs w:val="18"/>
          <w:color w:val="auto"/>
        </w:rPr>
      </w:pPr>
    </w:p>
    <w:p>
      <w:pPr>
        <w:ind w:left="1620" w:right="20" w:hanging="343"/>
        <w:spacing w:after="0" w:line="277"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unexpected changes in regulatory requirements, taxes, trade laws, tariffs, export quotas, custom duties or customs formalities, embargoes, exchange controls, government controls or other trade restrictions;</w:t>
      </w:r>
    </w:p>
    <w:p>
      <w:pPr>
        <w:spacing w:after="0" w:line="170" w:lineRule="exact"/>
        <w:rPr>
          <w:rFonts w:ascii="Arial" w:cs="Arial" w:eastAsia="Arial" w:hAnsi="Arial"/>
          <w:sz w:val="18"/>
          <w:szCs w:val="18"/>
          <w:color w:val="auto"/>
        </w:rPr>
      </w:pPr>
    </w:p>
    <w:p>
      <w:pPr>
        <w:ind w:left="1620" w:hanging="343"/>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differing technology standards;</w:t>
      </w:r>
    </w:p>
    <w:p>
      <w:pPr>
        <w:spacing w:after="0" w:line="225" w:lineRule="exact"/>
        <w:rPr>
          <w:rFonts w:ascii="Arial" w:cs="Arial" w:eastAsia="Arial" w:hAnsi="Arial"/>
          <w:sz w:val="18"/>
          <w:szCs w:val="18"/>
          <w:color w:val="auto"/>
        </w:rPr>
      </w:pPr>
    </w:p>
    <w:p>
      <w:pPr>
        <w:ind w:left="1620" w:hanging="343"/>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differing employer/employee relationships;</w:t>
      </w:r>
    </w:p>
    <w:p>
      <w:pPr>
        <w:spacing w:after="0" w:line="225" w:lineRule="exact"/>
        <w:rPr>
          <w:rFonts w:ascii="Arial" w:cs="Arial" w:eastAsia="Arial" w:hAnsi="Arial"/>
          <w:sz w:val="18"/>
          <w:szCs w:val="18"/>
          <w:color w:val="auto"/>
        </w:rPr>
      </w:pPr>
    </w:p>
    <w:p>
      <w:pPr>
        <w:ind w:left="1620" w:hanging="343"/>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exchange rates that may increase our foreign exchange exposure;</w:t>
      </w:r>
    </w:p>
    <w:p>
      <w:pPr>
        <w:spacing w:after="0" w:line="225" w:lineRule="exact"/>
        <w:rPr>
          <w:rFonts w:ascii="Arial" w:cs="Arial" w:eastAsia="Arial" w:hAnsi="Arial"/>
          <w:sz w:val="18"/>
          <w:szCs w:val="18"/>
          <w:color w:val="auto"/>
        </w:rPr>
      </w:pPr>
    </w:p>
    <w:p>
      <w:pPr>
        <w:ind w:left="1620" w:hanging="343"/>
        <w:spacing w:after="0" w:line="277"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potentially adverse tax consequences, including the complexities of foreign tax laws (including with respect to value added taxes) and restrictions on the repatriation of earnings;</w:t>
      </w:r>
    </w:p>
    <w:p>
      <w:pPr>
        <w:spacing w:after="0" w:line="170" w:lineRule="exact"/>
        <w:rPr>
          <w:rFonts w:ascii="Arial" w:cs="Arial" w:eastAsia="Arial" w:hAnsi="Arial"/>
          <w:sz w:val="18"/>
          <w:szCs w:val="18"/>
          <w:color w:val="auto"/>
        </w:rPr>
      </w:pPr>
    </w:p>
    <w:p>
      <w:pPr>
        <w:jc w:val="both"/>
        <w:ind w:left="1620" w:hanging="343"/>
        <w:spacing w:after="0" w:line="279" w:lineRule="auto"/>
        <w:tabs>
          <w:tab w:leader="none" w:pos="1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increased likelihood of potential or actual violations of domestic and international anti-money laundering laws and anticorruption laws, such as the U.S. Foreign Corrupt Practices Act of 1977, as amended (the “FCPA”) and the U.K. Bribery Act 2010 (the “U.K. Bribery Act”), which correlates with the scope of our sales and operations in foreign jurisdictions and operations in certain industries, such that an increase in such operations would increase risk of non-compliance with the aforementioned laws;</w:t>
      </w:r>
    </w:p>
    <w:p>
      <w:pPr>
        <w:spacing w:after="0" w:line="171" w:lineRule="exact"/>
        <w:rPr>
          <w:rFonts w:ascii="Arial" w:cs="Arial" w:eastAsia="Arial" w:hAnsi="Arial"/>
          <w:sz w:val="17"/>
          <w:szCs w:val="17"/>
          <w:color w:val="auto"/>
        </w:rPr>
      </w:pPr>
    </w:p>
    <w:p>
      <w:pPr>
        <w:ind w:left="1620" w:hanging="343"/>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 political and economic climates in foreign markets;</w:t>
      </w:r>
    </w:p>
    <w:p>
      <w:pPr>
        <w:spacing w:after="0" w:line="225" w:lineRule="exact"/>
        <w:rPr>
          <w:rFonts w:ascii="Arial" w:cs="Arial" w:eastAsia="Arial" w:hAnsi="Arial"/>
          <w:sz w:val="18"/>
          <w:szCs w:val="18"/>
          <w:color w:val="auto"/>
        </w:rPr>
      </w:pPr>
    </w:p>
    <w:p>
      <w:pPr>
        <w:ind w:left="1620" w:hanging="343"/>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managing and staffing operations over a broader geographic area with varying cultural norms and customs;</w:t>
      </w:r>
    </w:p>
    <w:p>
      <w:pPr>
        <w:spacing w:after="0" w:line="225" w:lineRule="exact"/>
        <w:rPr>
          <w:rFonts w:ascii="Arial" w:cs="Arial" w:eastAsia="Arial" w:hAnsi="Arial"/>
          <w:sz w:val="18"/>
          <w:szCs w:val="18"/>
          <w:color w:val="auto"/>
        </w:rPr>
      </w:pPr>
    </w:p>
    <w:p>
      <w:pPr>
        <w:ind w:left="1620" w:hanging="343"/>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varying levels of Internet and mobile technology adoption and infrastructure;</w:t>
      </w:r>
    </w:p>
    <w:p>
      <w:pPr>
        <w:spacing w:after="0" w:line="225" w:lineRule="exact"/>
        <w:rPr>
          <w:rFonts w:ascii="Arial" w:cs="Arial" w:eastAsia="Arial" w:hAnsi="Arial"/>
          <w:sz w:val="18"/>
          <w:szCs w:val="18"/>
          <w:color w:val="auto"/>
        </w:rPr>
      </w:pPr>
    </w:p>
    <w:p>
      <w:pPr>
        <w:ind w:left="1620" w:hanging="343"/>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 and</w:t>
      </w:r>
    </w:p>
    <w:p>
      <w:pPr>
        <w:spacing w:after="0" w:line="225" w:lineRule="exact"/>
        <w:rPr>
          <w:rFonts w:ascii="Arial" w:cs="Arial" w:eastAsia="Arial" w:hAnsi="Arial"/>
          <w:sz w:val="18"/>
          <w:szCs w:val="18"/>
          <w:color w:val="auto"/>
        </w:rPr>
      </w:pPr>
    </w:p>
    <w:p>
      <w:pPr>
        <w:ind w:left="1620" w:hanging="343"/>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200" w:lineRule="exact"/>
        <w:rPr>
          <w:sz w:val="20"/>
          <w:szCs w:val="20"/>
          <w:color w:val="auto"/>
        </w:rPr>
      </w:pPr>
    </w:p>
    <w:p>
      <w:pPr>
        <w:spacing w:after="0" w:line="241" w:lineRule="exact"/>
        <w:rPr>
          <w:sz w:val="20"/>
          <w:szCs w:val="20"/>
          <w:color w:val="auto"/>
        </w:rPr>
      </w:pPr>
    </w:p>
    <w:p>
      <w:pPr>
        <w:jc w:val="both"/>
        <w:ind w:firstLine="585"/>
        <w:spacing w:after="0" w:line="277" w:lineRule="auto"/>
        <w:rPr>
          <w:sz w:val="20"/>
          <w:szCs w:val="20"/>
          <w:color w:val="auto"/>
        </w:rPr>
      </w:pPr>
      <w:r>
        <w:rPr>
          <w:rFonts w:ascii="Arial" w:cs="Arial" w:eastAsia="Arial" w:hAnsi="Arial"/>
          <w:sz w:val="18"/>
          <w:szCs w:val="18"/>
          <w:color w:val="auto"/>
        </w:rPr>
        <w:t>These factors may require significant management attention and financial resources. Any negative impact from our international business efforts could adversely affect our business, results of operations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our executive officers and other key employees, and the loss of one or more of these employees could harm our business.</w:t>
      </w:r>
    </w:p>
    <w:p>
      <w:pPr>
        <w:spacing w:after="0" w:line="237" w:lineRule="exact"/>
        <w:rPr>
          <w:sz w:val="20"/>
          <w:szCs w:val="20"/>
          <w:color w:val="auto"/>
        </w:rPr>
      </w:pPr>
    </w:p>
    <w:p>
      <w:pPr>
        <w:jc w:val="both"/>
        <w:ind w:firstLine="450"/>
        <w:spacing w:after="0" w:line="257" w:lineRule="auto"/>
        <w:rPr>
          <w:sz w:val="20"/>
          <w:szCs w:val="20"/>
          <w:color w:val="auto"/>
        </w:rPr>
      </w:pPr>
      <w:r>
        <w:rPr>
          <w:rFonts w:ascii="Arial" w:cs="Arial" w:eastAsia="Arial" w:hAnsi="Arial"/>
          <w:sz w:val="18"/>
          <w:szCs w:val="18"/>
          <w:color w:val="auto"/>
        </w:rPr>
        <w:t>Our success depends largely upon the continued services of our executive officers and other key employees.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subject only to the notice periods prescribed by their respective executive agreements. The loss of one or more of our executive officers or key employees could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Inability to attract and retain other highly skilled employees could harm our business.</w:t>
      </w:r>
    </w:p>
    <w:p>
      <w:pPr>
        <w:spacing w:after="0" w:line="225" w:lineRule="exact"/>
        <w:rPr>
          <w:sz w:val="20"/>
          <w:szCs w:val="20"/>
          <w:color w:val="auto"/>
        </w:rPr>
      </w:pPr>
    </w:p>
    <w:p>
      <w:pPr>
        <w:jc w:val="both"/>
        <w:ind w:firstLine="515"/>
        <w:spacing w:after="0" w:line="271" w:lineRule="auto"/>
        <w:rPr>
          <w:sz w:val="20"/>
          <w:szCs w:val="20"/>
          <w:color w:val="auto"/>
        </w:rPr>
      </w:pPr>
      <w:r>
        <w:rPr>
          <w:rFonts w:ascii="Arial" w:cs="Arial" w:eastAsia="Arial" w:hAnsi="Arial"/>
          <w:sz w:val="17"/>
          <w:szCs w:val="17"/>
          <w:color w:val="auto"/>
        </w:rPr>
        <w:t>To execute our growth plan, we must attract and retain highly qualified personnel. Competition where we maintain offices is intense, especially for engineers experienced in designing and developing software and experienced sales professionals. We have from time to time experienced, and we expect to continue to experience, difficulty in hiring and retaining employees with appropriate qualifications. Many of the companies with which we compete for experienced personnel have greater resources than we have and may attempt to recruit our highly skilled employees. In addition, certain domestic immigration laws restrict or limit our ability to recruit internationally. Any changes to Israeli, United Kingdom, European or the U.S. immigration policies that restrain the flow of technical and professional talent may inhibit our ability to recruit and retain highly qualified employees. In addition, job candidates and existing employees often consider the value of the equity awards they receive in connection with their employment. If the perceived value of our equity awards declines, it may harm our ability to recruit and retain highly skilled employees.</w:t>
      </w:r>
    </w:p>
    <w:p>
      <w:pPr>
        <w:sectPr>
          <w:pgSz w:w="11900" w:h="16838" w:orient="portrait"/>
          <w:cols w:equalWidth="0" w:num="1">
            <w:col w:w="11240"/>
          </w:cols>
          <w:pgMar w:left="320" w:top="341" w:right="339" w:bottom="1440" w:gutter="0" w:footer="0" w:header="0"/>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1" w:name="page22"/>
    <w:bookmarkEnd w:id="21"/>
    <w:p>
      <w:pPr>
        <w:jc w:val="both"/>
        <w:ind w:firstLine="555"/>
        <w:spacing w:after="0" w:line="257" w:lineRule="auto"/>
        <w:rPr>
          <w:sz w:val="20"/>
          <w:szCs w:val="20"/>
          <w:color w:val="auto"/>
        </w:rPr>
      </w:pPr>
      <w:r>
        <w:rPr>
          <w:rFonts w:ascii="Arial" w:cs="Arial" w:eastAsia="Arial" w:hAnsi="Arial"/>
          <w:sz w:val="18"/>
          <w:szCs w:val="18"/>
          <w:color w:val="auto"/>
        </w:rPr>
        <w:t>Volatility or lack of appreciation in the price of our ADSs may also affect our ability to attract and retain our key employees. Many of our senior personnel and other key employees have become, or will soon become, vested in a substantial amount of options and restricted share units (“RSUs”). Employees may be more likely to leave us if the shares they own or the shares underlying their vested options or RSUs have significantly appreciated in value relative to the original purchase price of the shares or the exercise price of the options, or conversely, if the exercise price of the options that they hold are significantly above the market price of our ADSs.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in Israel could materially and adversely affect our business.</w:t>
      </w:r>
    </w:p>
    <w:p>
      <w:pPr>
        <w:spacing w:after="0" w:line="225" w:lineRule="exact"/>
        <w:rPr>
          <w:sz w:val="20"/>
          <w:szCs w:val="20"/>
          <w:color w:val="auto"/>
        </w:rPr>
      </w:pPr>
    </w:p>
    <w:p>
      <w:pPr>
        <w:jc w:val="both"/>
        <w:ind w:firstLine="496"/>
        <w:spacing w:after="0" w:line="291" w:lineRule="auto"/>
        <w:rPr>
          <w:sz w:val="20"/>
          <w:szCs w:val="20"/>
          <w:color w:val="auto"/>
        </w:rPr>
      </w:pPr>
      <w:r>
        <w:rPr>
          <w:rFonts w:ascii="Arial" w:cs="Arial" w:eastAsia="Arial" w:hAnsi="Arial"/>
          <w:sz w:val="16"/>
          <w:szCs w:val="16"/>
          <w:color w:val="auto"/>
        </w:rPr>
        <w:t>Many of our employees, including certain management members, operate from our offices that are located in Tel Aviv, Israel. In addition, a number of our officers and directors are residents of Israel. Accordingly, political, economic and military conditions in Israel and the surrounding region may directly affect our business and operations. In recent years, Israel has been engaged in sporadic armed conflicts with certain terrorist organizations and with Iranian-backed military forces in Syria. Some of these hostilities were accompanied by missiles being fired from the Gaza Strip against civilian targets in various parts of Israel, including areas in which our employees and some of our consultants are located, and negatively affected business conditions in Israel. In addition, Iran has threatened to attack Israel and may be developing nuclear weapons. Any hostilities involving Israel or the interruption or curtailment of trade between Israel and its trading partners could adversely affect our operations and results of operations.</w:t>
      </w:r>
    </w:p>
    <w:p>
      <w:pPr>
        <w:spacing w:after="0" w:line="166" w:lineRule="exact"/>
        <w:rPr>
          <w:sz w:val="20"/>
          <w:szCs w:val="20"/>
          <w:color w:val="auto"/>
        </w:rPr>
      </w:pPr>
    </w:p>
    <w:p>
      <w:pPr>
        <w:jc w:val="both"/>
        <w:ind w:firstLine="673"/>
        <w:spacing w:after="0" w:line="257" w:lineRule="auto"/>
        <w:rPr>
          <w:sz w:val="20"/>
          <w:szCs w:val="20"/>
          <w:color w:val="auto"/>
        </w:rPr>
      </w:pPr>
      <w:r>
        <w:rPr>
          <w:rFonts w:ascii="Arial" w:cs="Arial" w:eastAsia="Arial" w:hAnsi="Arial"/>
          <w:sz w:val="18"/>
          <w:szCs w:val="18"/>
          <w:color w:val="auto"/>
        </w:rPr>
        <w:t>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this government coverage will be maintained or that it will sufficiently cover our potential damages. Any losses or damages incurred by us could have a material adverse effect on our business. Any armed conflicts or political instability in the region could negatively affect our business conditions and harm our results of operations.</w:t>
      </w:r>
    </w:p>
    <w:p>
      <w:pPr>
        <w:spacing w:after="0" w:line="188"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Further, in the past, the State of Israel and Israeli companies have been subjected to economic boycotts. Several countries still restrict business with the State of Israel and with Israeli companies. These restrictive laws and policies may have an adverse impact on our operating results, financial condition or the expansion of our business. A campaign of boycotts, divestment and sanctions has been undertaken against Israel, which could also adversely impact our business.</w:t>
      </w:r>
    </w:p>
    <w:p>
      <w:pPr>
        <w:spacing w:after="0" w:line="187" w:lineRule="exact"/>
        <w:rPr>
          <w:sz w:val="20"/>
          <w:szCs w:val="20"/>
          <w:color w:val="auto"/>
        </w:rPr>
      </w:pPr>
    </w:p>
    <w:p>
      <w:pPr>
        <w:jc w:val="both"/>
        <w:ind w:firstLine="490"/>
        <w:spacing w:after="0" w:line="275" w:lineRule="auto"/>
        <w:rPr>
          <w:sz w:val="20"/>
          <w:szCs w:val="20"/>
          <w:color w:val="auto"/>
        </w:rPr>
      </w:pPr>
      <w:r>
        <w:rPr>
          <w:rFonts w:ascii="Arial" w:cs="Arial" w:eastAsia="Arial" w:hAnsi="Arial"/>
          <w:sz w:val="17"/>
          <w:szCs w:val="17"/>
          <w:color w:val="auto"/>
        </w:rPr>
        <w:t>In addition, many Israeli citizens are obligated to perform several days, and in some cases more, of annual military reserve duty each year until they reach the age of 40 (or older, for reservists who are military officers or who have certain occupations) and, in the event of a military conflict, may be called to active duty. In response to increases in terrorist activity, there have been periods of significant call-ups of military reservists. It is possible that there will be military reserve duty call-ups in the future. Our operations could be disrupted by such call-ups, which may include the call-up of members of our management. Such disruption could materially adversely affect our business, prospects, financial condition and results of operations.</w:t>
      </w:r>
    </w:p>
    <w:p>
      <w:pPr>
        <w:spacing w:after="0" w:line="176" w:lineRule="exact"/>
        <w:rPr>
          <w:sz w:val="20"/>
          <w:szCs w:val="20"/>
          <w:color w:val="auto"/>
        </w:rPr>
      </w:pPr>
    </w:p>
    <w:p>
      <w:pPr>
        <w:ind w:right="1100"/>
        <w:spacing w:after="0" w:line="277" w:lineRule="auto"/>
        <w:rPr>
          <w:sz w:val="20"/>
          <w:szCs w:val="20"/>
          <w:color w:val="auto"/>
        </w:rPr>
      </w:pPr>
      <w:r>
        <w:rPr>
          <w:rFonts w:ascii="Arial" w:cs="Arial" w:eastAsia="Arial" w:hAnsi="Arial"/>
          <w:sz w:val="18"/>
          <w:szCs w:val="18"/>
          <w:b w:val="1"/>
          <w:bCs w:val="1"/>
          <w:i w:val="1"/>
          <w:iCs w:val="1"/>
          <w:color w:val="auto"/>
        </w:rPr>
        <w:t>Your rights and responsibilities as our shareholder will be governed by Israeli law, which may differ in some respects from the rights and responsibilities of shareholders of U.S. corporations.</w:t>
      </w:r>
    </w:p>
    <w:p>
      <w:pPr>
        <w:spacing w:after="0" w:line="170" w:lineRule="exact"/>
        <w:rPr>
          <w:sz w:val="20"/>
          <w:szCs w:val="20"/>
          <w:color w:val="auto"/>
        </w:rPr>
      </w:pPr>
    </w:p>
    <w:p>
      <w:pPr>
        <w:jc w:val="both"/>
        <w:ind w:firstLine="551"/>
        <w:spacing w:after="0" w:line="288" w:lineRule="auto"/>
        <w:rPr>
          <w:sz w:val="20"/>
          <w:szCs w:val="20"/>
          <w:color w:val="auto"/>
        </w:rPr>
      </w:pPr>
      <w:r>
        <w:rPr>
          <w:rFonts w:ascii="Arial" w:cs="Arial" w:eastAsia="Arial" w:hAnsi="Arial"/>
          <w:sz w:val="16"/>
          <w:szCs w:val="16"/>
          <w:color w:val="auto"/>
        </w:rPr>
        <w:t>We are incorporated under Israeli law. The rights and responsibilities of holders of our ordinary shares are governed by our amended and restated articles of association and the Israeli Companies Law, 5759-1999 (the “Companies Law”). These rights and responsibilities differ in some respects from the rights and responsibilities of shareholders in typical U.S. corporations. In particular, pursuant to the Companies Law each shareholder of an Israeli company has to act in good faith and in a customary manner in exercising his, her or its rights and fulfilling his, her or its obligations toward the Company and other shareholders and to refrain from abusing his, her or its power in the Company, including, among other things, in voting at the general meeting of shareholders, on amendments to a company’s articles of association, increases in a company’s authorized share capital, mergers and certain transactions requiring shareholders’ approval under the Companies Law. In addition, a controlling shareholder of an Israeli company or a shareholder who knows that it possesses the power to determine the outcome of a shareholder vote or who has the power to appoint or prevent the appointment of a director or officer in the Company, or has other powers toward the Company has a duty of fairness toward the Company. However, Israeli law does not define the substance of this duty of fairness. There is little case law available to assist in understanding the implications of these provisions that govern shareholder behavior.</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ind w:right="620"/>
        <w:spacing w:after="0" w:line="277" w:lineRule="auto"/>
        <w:rPr>
          <w:sz w:val="20"/>
          <w:szCs w:val="20"/>
          <w:color w:val="auto"/>
        </w:rPr>
      </w:pPr>
      <w:r>
        <w:rPr>
          <w:rFonts w:ascii="Arial" w:cs="Arial" w:eastAsia="Arial" w:hAnsi="Arial"/>
          <w:sz w:val="18"/>
          <w:szCs w:val="18"/>
          <w:b w:val="1"/>
          <w:bCs w:val="1"/>
          <w:i w:val="1"/>
          <w:iCs w:val="1"/>
          <w:color w:val="auto"/>
        </w:rPr>
        <w:t>Provisions of Israeli law and our amended and restated articles of association may delay, prevent or make undesirable an acquisition of all or a significant portion of our ADSs or assets.</w:t>
      </w:r>
    </w:p>
    <w:p>
      <w:pPr>
        <w:spacing w:after="0" w:line="170" w:lineRule="exact"/>
        <w:rPr>
          <w:sz w:val="20"/>
          <w:szCs w:val="20"/>
          <w:color w:val="auto"/>
        </w:rPr>
      </w:pPr>
    </w:p>
    <w:p>
      <w:pPr>
        <w:jc w:val="both"/>
        <w:ind w:firstLine="474"/>
        <w:spacing w:after="0" w:line="259" w:lineRule="auto"/>
        <w:rPr>
          <w:sz w:val="20"/>
          <w:szCs w:val="20"/>
          <w:color w:val="auto"/>
        </w:rPr>
      </w:pPr>
      <w:r>
        <w:rPr>
          <w:rFonts w:ascii="Arial" w:cs="Arial" w:eastAsia="Arial" w:hAnsi="Arial"/>
          <w:sz w:val="18"/>
          <w:szCs w:val="18"/>
          <w:color w:val="auto"/>
        </w:rPr>
        <w:t>Provisions of Israeli law and our amended and restated articles of association could have the effect of delaying or preventing a change in control and may make it more difficult for a third party to acquire us or our shareholders to elect different individuals to our board of directors, even if doing so would be considered to be beneficial by some of our shareholders, and may limit the price that investors may be willing to pay in the future for our ordinary shares. Among other things:</w:t>
      </w:r>
    </w:p>
    <w:p>
      <w:pPr>
        <w:spacing w:after="0" w:line="187" w:lineRule="exact"/>
        <w:rPr>
          <w:sz w:val="20"/>
          <w:szCs w:val="20"/>
          <w:color w:val="auto"/>
        </w:rPr>
      </w:pPr>
    </w:p>
    <w:p>
      <w:pPr>
        <w:ind w:left="1620" w:hanging="343"/>
        <w:spacing w:after="0" w:line="277"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Israeli corporate law regulates mergers and requires that a tender offer be effected when more than a specified percentage of shares in a company are purchased;</w:t>
      </w:r>
    </w:p>
    <w:p>
      <w:pPr>
        <w:spacing w:after="0" w:line="170" w:lineRule="exact"/>
        <w:rPr>
          <w:rFonts w:ascii="Arial" w:cs="Arial" w:eastAsia="Arial" w:hAnsi="Arial"/>
          <w:sz w:val="18"/>
          <w:szCs w:val="18"/>
          <w:color w:val="auto"/>
        </w:rPr>
      </w:pPr>
    </w:p>
    <w:p>
      <w:pPr>
        <w:ind w:left="1620" w:hanging="343"/>
        <w:spacing w:after="0" w:line="277"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Israeli corporate law requires special approvals for certain transactions involving directors, officers or significant shareholders and regulates other matters that may be relevant to these types of transactions;</w:t>
      </w:r>
    </w:p>
    <w:p>
      <w:pPr>
        <w:spacing w:after="0" w:line="170" w:lineRule="exact"/>
        <w:rPr>
          <w:rFonts w:ascii="Arial" w:cs="Arial" w:eastAsia="Arial" w:hAnsi="Arial"/>
          <w:sz w:val="18"/>
          <w:szCs w:val="18"/>
          <w:color w:val="auto"/>
        </w:rPr>
      </w:pPr>
    </w:p>
    <w:p>
      <w:pPr>
        <w:ind w:left="1620" w:right="20" w:hanging="343"/>
        <w:spacing w:after="0" w:line="277"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Israeli corporate law does not provide for shareholder action by written consent for public companies, thereby requiring all shareholder actions to be taken at a general meeting of shareholders;</w:t>
      </w:r>
    </w:p>
    <w:p>
      <w:pPr>
        <w:spacing w:after="0" w:line="170" w:lineRule="exact"/>
        <w:rPr>
          <w:rFonts w:ascii="Arial" w:cs="Arial" w:eastAsia="Arial" w:hAnsi="Arial"/>
          <w:sz w:val="18"/>
          <w:szCs w:val="18"/>
          <w:color w:val="auto"/>
        </w:rPr>
      </w:pPr>
    </w:p>
    <w:p>
      <w:pPr>
        <w:jc w:val="both"/>
        <w:ind w:left="1620" w:hanging="343"/>
        <w:spacing w:after="0" w:line="263"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amended and restated articles of association require a vote of the holders of a majority of our outstanding ordinary shares entitled to vote present and voting on the matter at a general meeting of shareholders (referred to as simple majority), and the amendment of a limited number of provisions;</w:t>
      </w:r>
    </w:p>
    <w:p>
      <w:pPr>
        <w:spacing w:after="0" w:line="183" w:lineRule="exact"/>
        <w:rPr>
          <w:rFonts w:ascii="Arial" w:cs="Arial" w:eastAsia="Arial" w:hAnsi="Arial"/>
          <w:sz w:val="18"/>
          <w:szCs w:val="18"/>
          <w:color w:val="auto"/>
        </w:rPr>
      </w:pPr>
    </w:p>
    <w:p>
      <w:pPr>
        <w:ind w:left="1620" w:right="20" w:hanging="343"/>
        <w:spacing w:after="0" w:line="277"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amended and restated articles of association do not permit a director to be removed except by a vote of the holders of at least 65% of our outstanding shares entitled to vote at a general meeting of shareholders; and</w:t>
      </w:r>
    </w:p>
    <w:p>
      <w:pPr>
        <w:spacing w:after="0" w:line="170" w:lineRule="exact"/>
        <w:rPr>
          <w:rFonts w:ascii="Arial" w:cs="Arial" w:eastAsia="Arial" w:hAnsi="Arial"/>
          <w:sz w:val="18"/>
          <w:szCs w:val="18"/>
          <w:color w:val="auto"/>
        </w:rPr>
      </w:pPr>
    </w:p>
    <w:p>
      <w:pPr>
        <w:ind w:left="1620" w:hanging="343"/>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amended and restated articles of association provide that director vacancies may be filled by our board of directors.</w:t>
      </w:r>
    </w:p>
    <w:p>
      <w:pPr>
        <w:spacing w:after="0" w:line="225" w:lineRule="exact"/>
        <w:rPr>
          <w:sz w:val="20"/>
          <w:szCs w:val="20"/>
          <w:color w:val="auto"/>
        </w:rPr>
      </w:pPr>
    </w:p>
    <w:p>
      <w:pPr>
        <w:jc w:val="both"/>
        <w:ind w:firstLine="480"/>
        <w:spacing w:after="0" w:line="293" w:lineRule="auto"/>
        <w:rPr>
          <w:sz w:val="20"/>
          <w:szCs w:val="20"/>
          <w:color w:val="auto"/>
        </w:rPr>
      </w:pPr>
      <w:r>
        <w:rPr>
          <w:rFonts w:ascii="Arial" w:cs="Arial" w:eastAsia="Arial" w:hAnsi="Arial"/>
          <w:sz w:val="16"/>
          <w:szCs w:val="16"/>
          <w:color w:val="auto"/>
        </w:rPr>
        <w:t>Further, Israeli tax considerations may make potential transactions undesirable to us or to some of our shareholders whose country of residence does not have a tax treaty with Israel granting tax relief to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including a holding period of two years from the date of the transaction during which certain sales and dispositions of shares of the participating companies are restricted. Moreover, with respect to certain share swap transactions, the tax deferral is limited in time, and when such time expires, the tax becomes payable even if no disposition of the shares has occurred.</w:t>
      </w:r>
    </w:p>
    <w:p>
      <w:pPr>
        <w:spacing w:after="0" w:line="164"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b w:val="1"/>
          <w:bCs w:val="1"/>
          <w:i w:val="1"/>
          <w:iCs w:val="1"/>
          <w:color w:val="auto"/>
        </w:rPr>
        <w:t>Our amended and restated articles of association provide that unless we consent to an alternate forum, the federal district courts of the United States shall be the exclusive forum for the resolution of any claims arising under the Securities Act of 1933, as amended (the “Securities Act”), which may limit the ability of our shareholders to initiate litigation against us or increase the cost thereof.</w:t>
      </w:r>
    </w:p>
    <w:p>
      <w:pPr>
        <w:spacing w:after="0" w:line="165" w:lineRule="exact"/>
        <w:rPr>
          <w:sz w:val="20"/>
          <w:szCs w:val="20"/>
          <w:color w:val="auto"/>
        </w:rPr>
      </w:pPr>
    </w:p>
    <w:p>
      <w:pPr>
        <w:jc w:val="both"/>
        <w:ind w:firstLine="466"/>
        <w:spacing w:after="0" w:line="286" w:lineRule="auto"/>
        <w:rPr>
          <w:sz w:val="20"/>
          <w:szCs w:val="20"/>
          <w:color w:val="auto"/>
        </w:rPr>
      </w:pPr>
      <w:r>
        <w:rPr>
          <w:rFonts w:ascii="Arial" w:cs="Arial" w:eastAsia="Arial" w:hAnsi="Arial"/>
          <w:sz w:val="16"/>
          <w:szCs w:val="16"/>
          <w:color w:val="auto"/>
        </w:rPr>
        <w:t>Our amended and restated articles of association provide that unless we consent in writing to the selection of an alternative forum, the federal district courts of the United States shall be the exclusive forum for the resolution of any complaint asserting a cause of action arising under the Securities Act. Section 22 of the Securities Act creates concurrent jurisdiction for federal and state courts over all such Securities Act actions, and accordingly, both state and federal courts have jurisdiction to entertain such claims. While the federal forum provision in our amended and restated articles of association does not restrict the ability of our shareholders to bring claims under the Securities Act, we recognize that it may limit shareholders’ ability to bring a claim in the judicial forum that they find favorable and may increase certain litigation costs, which may discourage the filing of claims under the Securities Act against the Company, its directors and officers. However, the enforceability of similar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courts would enforce the exclusive forum provisions in our amended and restated articles of association. If a court were to find the choice of forum provision contained in our amended and restated articles of association to be inapplicable or unenforceable in an action, we may incur additional costs associated with resolving such action in other jurisdictions, which could materially adversely affect our business, financial condition and results of operations. We note that investors cannot waive compliance with the federal securities laws and the rules and regulations thereunder may have the effect of discouraging lawsuits against our directors and officers.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b w:val="1"/>
          <w:bCs w:val="1"/>
          <w:i w:val="1"/>
          <w:iCs w:val="1"/>
          <w:color w:val="auto"/>
        </w:rPr>
        <w:t>It may be difficult to enforce a U.S. judgment against us, our officers and directors in Israel or the United States, or to assert U.S. securities laws claims in Israel or serve process on our officers and directors.</w:t>
      </w:r>
    </w:p>
    <w:p>
      <w:pPr>
        <w:spacing w:after="0" w:line="170" w:lineRule="exact"/>
        <w:rPr>
          <w:sz w:val="20"/>
          <w:szCs w:val="20"/>
          <w:color w:val="auto"/>
        </w:rPr>
      </w:pPr>
    </w:p>
    <w:p>
      <w:pPr>
        <w:jc w:val="both"/>
        <w:ind w:firstLine="479"/>
        <w:spacing w:after="0" w:line="269" w:lineRule="auto"/>
        <w:rPr>
          <w:sz w:val="20"/>
          <w:szCs w:val="20"/>
          <w:color w:val="auto"/>
        </w:rPr>
      </w:pPr>
      <w:r>
        <w:rPr>
          <w:rFonts w:ascii="Arial" w:cs="Arial" w:eastAsia="Arial" w:hAnsi="Arial"/>
          <w:sz w:val="17"/>
          <w:szCs w:val="17"/>
          <w:color w:val="auto"/>
        </w:rPr>
        <w:t>Not all of our directors or officers are residents of the United States and most of their and our assets are located outside the United States. Service of process upon us or our non-U.S. resident directors and officers and enforcement of judgments obtained in the United States against us or our non-U.S. our directors and executive officers may be difficult to obtain within the United States.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officers and directors because Israel may not be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Israeli courts might not enforce judgments rendered outside Israel, which may make it difficult to collect on judgments rendered against us or our non-U.S. officers and directors.</w:t>
      </w:r>
    </w:p>
    <w:p>
      <w:pPr>
        <w:spacing w:after="0" w:line="185" w:lineRule="exact"/>
        <w:rPr>
          <w:sz w:val="20"/>
          <w:szCs w:val="20"/>
          <w:color w:val="auto"/>
        </w:rPr>
      </w:pPr>
    </w:p>
    <w:p>
      <w:pPr>
        <w:jc w:val="both"/>
        <w:ind w:firstLine="639"/>
        <w:spacing w:after="0" w:line="301" w:lineRule="auto"/>
        <w:rPr>
          <w:sz w:val="20"/>
          <w:szCs w:val="20"/>
          <w:color w:val="auto"/>
        </w:rPr>
      </w:pPr>
      <w:r>
        <w:rPr>
          <w:rFonts w:ascii="Arial" w:cs="Arial" w:eastAsia="Arial" w:hAnsi="Arial"/>
          <w:sz w:val="16"/>
          <w:szCs w:val="16"/>
          <w:color w:val="auto"/>
        </w:rPr>
        <w:t>Moreover, an Israeli court will not enforce a non-Israeli judgment if it was given in a state whose laws do not provide for the enforcement of judgments of Israeli courts (subject to exceptional cases), if its enforcement is likely to prejudice the sovereignty or security of the State of Israel, if it was obtained by fraud or in the absence of due process, if it is at variance with another valid judgment that was given in the same matter between the same parties, or if a suit in the same matter between the same parties was pending before a court or tribunal in Israel at the time the foreign action was brought.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Financial Position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operating history makes it difficult to evaluate our business and prospects and may increase the risk associated with your investment.</w:t>
      </w:r>
    </w:p>
    <w:p>
      <w:pPr>
        <w:spacing w:after="0" w:line="237" w:lineRule="exact"/>
        <w:rPr>
          <w:sz w:val="20"/>
          <w:szCs w:val="20"/>
          <w:color w:val="auto"/>
        </w:rPr>
      </w:pPr>
    </w:p>
    <w:p>
      <w:pPr>
        <w:jc w:val="both"/>
        <w:ind w:firstLine="473"/>
        <w:spacing w:after="0" w:line="257" w:lineRule="auto"/>
        <w:rPr>
          <w:sz w:val="20"/>
          <w:szCs w:val="20"/>
          <w:color w:val="auto"/>
        </w:rPr>
      </w:pPr>
      <w:r>
        <w:rPr>
          <w:rFonts w:ascii="Arial" w:cs="Arial" w:eastAsia="Arial" w:hAnsi="Arial"/>
          <w:sz w:val="18"/>
          <w:szCs w:val="18"/>
          <w:color w:val="auto"/>
        </w:rPr>
        <w:t>Our business has evolved over time, including through several successful acquisitions such as our acquisitions of RhythmOne plc (“RhythmOne”) in 2019, Unruly Holdings Limited and Unruly Media, Inc. (collectively, “Unruly”) in 2020 and Spearad GmbH (“Spearad”) in 2021, such that our operating history makes it difficult to evaluate our current business and future prospects. As a result of such acquisitions, our financial results across different periods may not be directly comparable. We expect to face challenges, risks and difficulties frequently experienced by growing companies in rapidly developing industries, including those relating to:</w:t>
      </w:r>
    </w:p>
    <w:p>
      <w:pPr>
        <w:spacing w:after="0" w:line="188" w:lineRule="exact"/>
        <w:rPr>
          <w:sz w:val="20"/>
          <w:szCs w:val="20"/>
          <w:color w:val="auto"/>
        </w:rPr>
      </w:pPr>
    </w:p>
    <w:p>
      <w:pPr>
        <w:ind w:left="5540" w:right="2780" w:hanging="4263"/>
        <w:spacing w:after="0" w:line="731" w:lineRule="auto"/>
        <w:tabs>
          <w:tab w:leader="none" w:pos="16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recruiting, integrating and retaining qualified and motivated employees, particularly engineers;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ind w:left="1620" w:hanging="343"/>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maintaining and expanding relationships with publishers, agencies and advertisers;</w:t>
      </w:r>
    </w:p>
    <w:p>
      <w:pPr>
        <w:spacing w:after="0" w:line="225" w:lineRule="exact"/>
        <w:rPr>
          <w:rFonts w:ascii="Arial" w:cs="Arial" w:eastAsia="Arial" w:hAnsi="Arial"/>
          <w:sz w:val="18"/>
          <w:szCs w:val="18"/>
          <w:color w:val="auto"/>
        </w:rPr>
      </w:pPr>
    </w:p>
    <w:p>
      <w:pPr>
        <w:ind w:left="1620" w:hanging="343"/>
        <w:spacing w:after="0"/>
        <w:tabs>
          <w:tab w:leader="none" w:pos="1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innovating and developing new solutions that are adopted by and meet the needs of publishers, agencies and advertisers;</w:t>
      </w:r>
    </w:p>
    <w:p>
      <w:pPr>
        <w:spacing w:after="0" w:line="236" w:lineRule="exact"/>
        <w:rPr>
          <w:rFonts w:ascii="Arial" w:cs="Arial" w:eastAsia="Arial" w:hAnsi="Arial"/>
          <w:sz w:val="17"/>
          <w:szCs w:val="17"/>
          <w:color w:val="auto"/>
        </w:rPr>
      </w:pPr>
    </w:p>
    <w:p>
      <w:pPr>
        <w:ind w:left="1620" w:hanging="343"/>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competing against companies with a larger customer base or greater financial or technical resources;</w:t>
      </w:r>
    </w:p>
    <w:p>
      <w:pPr>
        <w:spacing w:after="0" w:line="225" w:lineRule="exact"/>
        <w:rPr>
          <w:rFonts w:ascii="Arial" w:cs="Arial" w:eastAsia="Arial" w:hAnsi="Arial"/>
          <w:sz w:val="18"/>
          <w:szCs w:val="18"/>
          <w:color w:val="auto"/>
        </w:rPr>
      </w:pPr>
    </w:p>
    <w:p>
      <w:pPr>
        <w:ind w:left="1620" w:hanging="343"/>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global economic disruption and technological changes driven by the COVID-19 pandemic;</w:t>
      </w:r>
    </w:p>
    <w:p>
      <w:pPr>
        <w:spacing w:after="0" w:line="225" w:lineRule="exact"/>
        <w:rPr>
          <w:rFonts w:ascii="Arial" w:cs="Arial" w:eastAsia="Arial" w:hAnsi="Arial"/>
          <w:sz w:val="18"/>
          <w:szCs w:val="18"/>
          <w:color w:val="auto"/>
        </w:rPr>
      </w:pPr>
    </w:p>
    <w:p>
      <w:pPr>
        <w:ind w:left="1620" w:hanging="343"/>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further expanding our global footprint;</w:t>
      </w:r>
    </w:p>
    <w:p>
      <w:pPr>
        <w:spacing w:after="0" w:line="225" w:lineRule="exact"/>
        <w:rPr>
          <w:rFonts w:ascii="Arial" w:cs="Arial" w:eastAsia="Arial" w:hAnsi="Arial"/>
          <w:sz w:val="18"/>
          <w:szCs w:val="18"/>
          <w:color w:val="auto"/>
        </w:rPr>
      </w:pPr>
    </w:p>
    <w:p>
      <w:pPr>
        <w:ind w:left="1620" w:right="460" w:hanging="343"/>
        <w:spacing w:after="0" w:line="277"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managing expenses as we invest in our infrastructure and platform technology to scale our business and operate as a U.S. listed public company; and</w:t>
      </w:r>
    </w:p>
    <w:p>
      <w:pPr>
        <w:spacing w:after="0" w:line="170" w:lineRule="exact"/>
        <w:rPr>
          <w:rFonts w:ascii="Arial" w:cs="Arial" w:eastAsia="Arial" w:hAnsi="Arial"/>
          <w:sz w:val="18"/>
          <w:szCs w:val="18"/>
          <w:color w:val="auto"/>
        </w:rPr>
      </w:pPr>
    </w:p>
    <w:p>
      <w:pPr>
        <w:ind w:left="1620" w:right="420" w:hanging="343"/>
        <w:spacing w:after="0" w:line="277"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responding to evolving industry standards and government regulations that impact our business, particularly in the areas of data protection and consumer privacy.</w:t>
      </w:r>
    </w:p>
    <w:p>
      <w:pPr>
        <w:spacing w:after="0" w:line="170" w:lineRule="exact"/>
        <w:rPr>
          <w:sz w:val="20"/>
          <w:szCs w:val="20"/>
          <w:color w:val="auto"/>
        </w:rPr>
      </w:pPr>
    </w:p>
    <w:p>
      <w:pPr>
        <w:ind w:right="300" w:firstLine="450"/>
        <w:spacing w:after="0" w:line="277" w:lineRule="auto"/>
        <w:rPr>
          <w:sz w:val="20"/>
          <w:szCs w:val="20"/>
          <w:color w:val="auto"/>
        </w:rPr>
      </w:pPr>
      <w:r>
        <w:rPr>
          <w:rFonts w:ascii="Arial" w:cs="Arial" w:eastAsia="Arial" w:hAnsi="Arial"/>
          <w:sz w:val="18"/>
          <w:szCs w:val="18"/>
          <w:color w:val="auto"/>
        </w:rPr>
        <w:t>If we are not successful in addressing these and other issues, our business may suffer, our revenue may decline and we may not be able to achieve further growth or sustain profitability.</w:t>
      </w:r>
    </w:p>
    <w:p>
      <w:pPr>
        <w:spacing w:after="0" w:line="17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We often have long sales cycles, which can result in significant time and investment between initial contact with a prospect and execution of an agreement with an advertiser or publisher, making it difficult to project when, if at all, we will obtain new advertisers or publisher and when we will generate revenue from them.</w:t>
      </w:r>
    </w:p>
    <w:p>
      <w:pPr>
        <w:spacing w:after="0" w:line="184" w:lineRule="exact"/>
        <w:rPr>
          <w:sz w:val="20"/>
          <w:szCs w:val="20"/>
          <w:color w:val="auto"/>
        </w:rPr>
      </w:pPr>
    </w:p>
    <w:p>
      <w:pPr>
        <w:jc w:val="both"/>
        <w:ind w:firstLine="552"/>
        <w:spacing w:after="0" w:line="288" w:lineRule="auto"/>
        <w:rPr>
          <w:sz w:val="20"/>
          <w:szCs w:val="20"/>
          <w:color w:val="auto"/>
        </w:rPr>
      </w:pPr>
      <w:r>
        <w:rPr>
          <w:rFonts w:ascii="Arial" w:cs="Arial" w:eastAsia="Arial" w:hAnsi="Arial"/>
          <w:sz w:val="16"/>
          <w:szCs w:val="16"/>
          <w:color w:val="auto"/>
        </w:rPr>
        <w:t>Our sales cycle, from initial contact to contract execution and implementation, can take significant time. As part of our sales cycle, we may incur significant expenses before we generate any revenue from a prospective advertiser or publisher. We have no assurance that the substantial time and money spent on our sales efforts will generate significant revenue. If conditions in the marketplace, generally or with a specific prospective advertiser or publisher, change negatively, it is possible that we will be unable to recover any of these expenses. Our sales efforts involve educating advertisers and publishers about the use, technical capabilities and benefits of our platform. Some advertisers and publishers undertake an evaluation process that frequently involves not only our platform but also the offerings of our competitors. As a result, it is difficult to predict when we will obtain new advertisers or publishers and begin generating revenue from them. Even if our sales efforts result in obtaining a new advertiser or publisher, such advertiser or publisher controls when and to what extent it uses our platform and therefore the amount of revenue we generate, and it may not sufficiently justify the expenses incurred to acquire the advertiser or publisher and the related training support. As a result, we may not be able to add advertisers or publishers to our customer base, or generate revenue, as quickly as we may expect, which could harm our growth prospects.</w:t>
      </w:r>
    </w:p>
    <w:p>
      <w:pPr>
        <w:spacing w:after="0" w:line="16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are subject to payment-related risks and, if our advertisers do not pay or dispute their invoices, our business, financial condition and operating results may be adversely affected.</w:t>
      </w:r>
    </w:p>
    <w:p>
      <w:pPr>
        <w:spacing w:after="0" w:line="170" w:lineRule="exact"/>
        <w:rPr>
          <w:sz w:val="20"/>
          <w:szCs w:val="20"/>
          <w:color w:val="auto"/>
        </w:rPr>
      </w:pPr>
    </w:p>
    <w:p>
      <w:pPr>
        <w:jc w:val="both"/>
        <w:ind w:firstLine="540"/>
        <w:spacing w:after="0" w:line="290" w:lineRule="auto"/>
        <w:rPr>
          <w:sz w:val="20"/>
          <w:szCs w:val="20"/>
          <w:color w:val="auto"/>
        </w:rPr>
      </w:pPr>
      <w:r>
        <w:rPr>
          <w:rFonts w:ascii="Arial" w:cs="Arial" w:eastAsia="Arial" w:hAnsi="Arial"/>
          <w:sz w:val="16"/>
          <w:szCs w:val="16"/>
          <w:color w:val="auto"/>
        </w:rPr>
        <w:t>Many of our contracts with advertising agencies provide that if the advertiser does not pay the agency, the agency is not liable to us, and we must seek payment solely from the advertiser, a type of arrangement called sequential liability. Contracting with these agencies, which in some cases have or may develop higher-risk credit profiles, may subject us to greater credit risk than if we were to contract directly with advertisers. This credit risk may vary depending on the nature of an advertising agency’s aggregated advertiser base. We may also be involved in disputes with agencies and their marketers over the operation of our platform, the terms of our agreements or our billings for purchases made by them through our platform. When we are unable to collect or make adjustments to our bills to advertisers, we incur write-offs for bad debt, which could have a material adverse effect on our results of operations for the periods in which the write-offs occur. In the future, bad debt may exceed reserves for such contingencies and our bad debt exposure may increase over time. Any increase in write-offs for bad debt could have a materially negative effect on our business, operating results and financial condition.</w:t>
      </w:r>
    </w:p>
    <w:p>
      <w:pPr>
        <w:spacing w:after="0" w:line="165" w:lineRule="exact"/>
        <w:rPr>
          <w:sz w:val="20"/>
          <w:szCs w:val="20"/>
          <w:color w:val="auto"/>
        </w:rPr>
      </w:pPr>
    </w:p>
    <w:p>
      <w:pPr>
        <w:jc w:val="both"/>
        <w:ind w:firstLine="468"/>
        <w:spacing w:after="0" w:line="279" w:lineRule="auto"/>
        <w:rPr>
          <w:sz w:val="20"/>
          <w:szCs w:val="20"/>
          <w:color w:val="auto"/>
        </w:rPr>
      </w:pPr>
      <w:r>
        <w:rPr>
          <w:rFonts w:ascii="Arial" w:cs="Arial" w:eastAsia="Arial" w:hAnsi="Arial"/>
          <w:sz w:val="17"/>
          <w:szCs w:val="17"/>
          <w:color w:val="auto"/>
        </w:rPr>
        <w:t>Furthermore, we are generally contractually required to pay suppliers of advertising inventory and data within a negotiated period of time, regardless of whether our advertisers or publishers pay us on time, or at all. While we attempt to negotiate long payment periods with our suppliers and shorter periods with our advertisers and publishers, we are not always successful. As a result, our accounts payable are often due on shorter cycles than our accounts receivables, requiring us to remit payments from our own funds, and accept the risk of bad debt.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jc w:val="both"/>
        <w:ind w:firstLine="576"/>
        <w:spacing w:after="0" w:line="287" w:lineRule="auto"/>
        <w:rPr>
          <w:sz w:val="20"/>
          <w:szCs w:val="20"/>
          <w:color w:val="auto"/>
        </w:rPr>
      </w:pPr>
      <w:r>
        <w:rPr>
          <w:rFonts w:ascii="Arial" w:cs="Arial" w:eastAsia="Arial" w:hAnsi="Arial"/>
          <w:sz w:val="16"/>
          <w:szCs w:val="16"/>
          <w:color w:val="auto"/>
        </w:rPr>
        <w:t>This payment process will increasingly consume working capital if we continue to be successful in growing our business. In addition, like many companies in our industry, we often experience slow payment by advertising agencies. In this regard, we had average days sales outstanding (“DSO”) of 86 days and average days payable outstanding (“DPO”) of 78 days for the year ended December 31, 2021. We compute our average DSO as of a given month end based on a weighted average of outstanding accounts receivable. Specifically, the DSO is calculated by multiplying the percentage of accounts receivable outstanding for each monthly billing period by the number of days outstanding related to each billing period and then summing the weighted days outstanding. We compute our DPO as of a given month end by dividing our trade payables (including accrued liabilities) by the average daily cost of media, data, other direct costs and certain operating expenses over the prior four months. Historically, our DSOs have fluctuated. If our DSOs increase significantly, and we are unable to borrow against these receivables on commercially acceptable terms, our working capital availability could be reduced, and as a consequence our results of operations and financial condition would be adversely impacted. We cannot assure you that as we continue to grow, our business will generate sufficient cash flow from operations to fund our working capital needs. If our cash flows are insufficient to fund our working capital requirements, we may not be able to grow at the rate we currently expect or at all.</w:t>
      </w:r>
    </w:p>
    <w:p>
      <w:pPr>
        <w:spacing w:after="0" w:line="172"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Future acquisitions or strategic investments could be difficult to identify and integrate, divert the attention of management, and could disrupt our business, dilute shareholder value and adversely affect our business, results of operations and financial condition.</w:t>
      </w:r>
    </w:p>
    <w:p>
      <w:pPr>
        <w:spacing w:after="0" w:line="146" w:lineRule="exact"/>
        <w:rPr>
          <w:sz w:val="20"/>
          <w:szCs w:val="20"/>
          <w:color w:val="auto"/>
        </w:rPr>
      </w:pPr>
    </w:p>
    <w:p>
      <w:pPr>
        <w:jc w:val="both"/>
        <w:ind w:firstLine="532"/>
        <w:spacing w:after="0" w:line="275" w:lineRule="auto"/>
        <w:rPr>
          <w:sz w:val="20"/>
          <w:szCs w:val="20"/>
          <w:color w:val="auto"/>
        </w:rPr>
      </w:pPr>
      <w:r>
        <w:rPr>
          <w:rFonts w:ascii="Arial" w:cs="Arial" w:eastAsia="Arial" w:hAnsi="Arial"/>
          <w:sz w:val="17"/>
          <w:szCs w:val="17"/>
          <w:color w:val="auto"/>
        </w:rPr>
        <w:t>As part of our growth strategy, we have pursued strategic acquisitions, such as our recent acquisitions of RhythmOne in 2019, Unruly in 2020 and Spearad in 2021, and we may acquire or invest in other businesses, assets or technologies that are complementary to our business and align with our strategic goals. Any acquisition or investment may divert the attention of management and require us to use significant amounts of cash, issue dilutive equity securities or incur debt. In addition, the anticipated benefits of any acquisition or investment may not be realized, and we may be exposed to unknown risks, any of which could adversely affect our business, results of operations and financial condition, including risks arising from:</w:t>
      </w:r>
    </w:p>
    <w:p>
      <w:pPr>
        <w:spacing w:after="0" w:line="176" w:lineRule="exact"/>
        <w:rPr>
          <w:sz w:val="20"/>
          <w:szCs w:val="20"/>
          <w:color w:val="auto"/>
        </w:rPr>
      </w:pPr>
    </w:p>
    <w:p>
      <w:pPr>
        <w:ind w:left="1620" w:right="40" w:hanging="343"/>
        <w:spacing w:after="0" w:line="342" w:lineRule="auto"/>
        <w:tabs>
          <w:tab w:leader="none" w:pos="1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difficulties in integrating the operations, technologies, product or service offerings, administrative systems and personnel of acquired businesses, especially if those businesses operate outside of our core competency or geographies in which we currently operate;</w:t>
      </w:r>
    </w:p>
    <w:p>
      <w:pPr>
        <w:spacing w:after="0" w:line="123" w:lineRule="exact"/>
        <w:rPr>
          <w:rFonts w:ascii="Arial" w:cs="Arial" w:eastAsia="Arial" w:hAnsi="Arial"/>
          <w:sz w:val="16"/>
          <w:szCs w:val="16"/>
          <w:color w:val="auto"/>
        </w:rPr>
      </w:pPr>
    </w:p>
    <w:p>
      <w:pPr>
        <w:ind w:left="1620" w:hanging="343"/>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ineffectiveness or incompatibility of acquired technologies or solutions;</w:t>
      </w:r>
    </w:p>
    <w:p>
      <w:pPr>
        <w:spacing w:after="0" w:line="225" w:lineRule="exact"/>
        <w:rPr>
          <w:rFonts w:ascii="Arial" w:cs="Arial" w:eastAsia="Arial" w:hAnsi="Arial"/>
          <w:sz w:val="18"/>
          <w:szCs w:val="18"/>
          <w:color w:val="auto"/>
        </w:rPr>
      </w:pPr>
    </w:p>
    <w:p>
      <w:pPr>
        <w:ind w:left="1620" w:hanging="343"/>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loss of key employees of the acquired business;</w:t>
      </w:r>
    </w:p>
    <w:p>
      <w:pPr>
        <w:spacing w:after="0" w:line="225" w:lineRule="exact"/>
        <w:rPr>
          <w:rFonts w:ascii="Arial" w:cs="Arial" w:eastAsia="Arial" w:hAnsi="Arial"/>
          <w:sz w:val="18"/>
          <w:szCs w:val="18"/>
          <w:color w:val="auto"/>
        </w:rPr>
      </w:pPr>
    </w:p>
    <w:p>
      <w:pPr>
        <w:ind w:left="1620" w:hanging="343"/>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maintain key business relationships and reputation of the acquired business;</w:t>
      </w:r>
    </w:p>
    <w:p>
      <w:pPr>
        <w:spacing w:after="0" w:line="225" w:lineRule="exact"/>
        <w:rPr>
          <w:rFonts w:ascii="Arial" w:cs="Arial" w:eastAsia="Arial" w:hAnsi="Arial"/>
          <w:sz w:val="18"/>
          <w:szCs w:val="18"/>
          <w:color w:val="auto"/>
        </w:rPr>
      </w:pPr>
    </w:p>
    <w:p>
      <w:pPr>
        <w:ind w:left="1620" w:hanging="343"/>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 attention from other business concerns;</w:t>
      </w:r>
    </w:p>
    <w:p>
      <w:pPr>
        <w:spacing w:after="0" w:line="225" w:lineRule="exact"/>
        <w:rPr>
          <w:rFonts w:ascii="Arial" w:cs="Arial" w:eastAsia="Arial" w:hAnsi="Arial"/>
          <w:sz w:val="18"/>
          <w:szCs w:val="18"/>
          <w:color w:val="auto"/>
        </w:rPr>
      </w:pPr>
    </w:p>
    <w:p>
      <w:pPr>
        <w:ind w:left="1620" w:right="640" w:hanging="343"/>
        <w:spacing w:after="0" w:line="277"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arising from the acquisition or the activities of the acquired business, including claims from terminated employees, customers, former shareholders or other third parties;</w:t>
      </w:r>
    </w:p>
    <w:p>
      <w:pPr>
        <w:spacing w:after="0" w:line="170" w:lineRule="exact"/>
        <w:rPr>
          <w:rFonts w:ascii="Arial" w:cs="Arial" w:eastAsia="Arial" w:hAnsi="Arial"/>
          <w:sz w:val="18"/>
          <w:szCs w:val="18"/>
          <w:color w:val="auto"/>
        </w:rPr>
      </w:pPr>
    </w:p>
    <w:p>
      <w:pPr>
        <w:ind w:left="1620" w:right="520" w:hanging="343"/>
        <w:spacing w:after="0" w:line="277"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assumption of contractual obligations that contain terms that are not beneficial to us, require us to license or waive intellectual property rights, or increase our risk of liability;</w:t>
      </w:r>
    </w:p>
    <w:p>
      <w:pPr>
        <w:spacing w:after="0" w:line="170" w:lineRule="exact"/>
        <w:rPr>
          <w:rFonts w:ascii="Arial" w:cs="Arial" w:eastAsia="Arial" w:hAnsi="Arial"/>
          <w:sz w:val="18"/>
          <w:szCs w:val="18"/>
          <w:color w:val="auto"/>
        </w:rPr>
      </w:pPr>
    </w:p>
    <w:p>
      <w:pPr>
        <w:ind w:left="1620" w:hanging="343"/>
        <w:spacing w:after="0" w:line="277"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complications in the integration of acquired businesses or diminished prospects, including as a result of the COVID-19 pandemic and its global economic effects;</w:t>
      </w:r>
    </w:p>
    <w:p>
      <w:pPr>
        <w:spacing w:after="0" w:line="170" w:lineRule="exact"/>
        <w:rPr>
          <w:rFonts w:ascii="Arial" w:cs="Arial" w:eastAsia="Arial" w:hAnsi="Arial"/>
          <w:sz w:val="18"/>
          <w:szCs w:val="18"/>
          <w:color w:val="auto"/>
        </w:rPr>
      </w:pPr>
    </w:p>
    <w:p>
      <w:pPr>
        <w:ind w:left="1620" w:hanging="343"/>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generate the expected financial results related to an acquisition on a timely manner or at all;</w:t>
      </w:r>
    </w:p>
    <w:p>
      <w:pPr>
        <w:spacing w:after="0" w:line="225" w:lineRule="exact"/>
        <w:rPr>
          <w:rFonts w:ascii="Arial" w:cs="Arial" w:eastAsia="Arial" w:hAnsi="Arial"/>
          <w:sz w:val="18"/>
          <w:szCs w:val="18"/>
          <w:color w:val="auto"/>
        </w:rPr>
      </w:pPr>
    </w:p>
    <w:p>
      <w:pPr>
        <w:ind w:left="1620" w:hanging="343"/>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accurately forecast the impact of an acquisition transaction; and</w:t>
      </w:r>
    </w:p>
    <w:p>
      <w:pPr>
        <w:spacing w:after="0" w:line="225" w:lineRule="exact"/>
        <w:rPr>
          <w:rFonts w:ascii="Arial" w:cs="Arial" w:eastAsia="Arial" w:hAnsi="Arial"/>
          <w:sz w:val="18"/>
          <w:szCs w:val="18"/>
          <w:color w:val="auto"/>
        </w:rPr>
      </w:pPr>
    </w:p>
    <w:p>
      <w:pPr>
        <w:ind w:left="1620" w:hanging="343"/>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implementation or remediation of effective controls, procedures and policies for acquired businesses.</w:t>
      </w:r>
    </w:p>
    <w:p>
      <w:pPr>
        <w:spacing w:after="0" w:line="225" w:lineRule="exact"/>
        <w:rPr>
          <w:sz w:val="20"/>
          <w:szCs w:val="20"/>
          <w:color w:val="auto"/>
        </w:rPr>
      </w:pPr>
    </w:p>
    <w:p>
      <w:pPr>
        <w:jc w:val="both"/>
        <w:ind w:firstLine="547"/>
        <w:spacing w:after="0" w:line="263" w:lineRule="auto"/>
        <w:rPr>
          <w:sz w:val="20"/>
          <w:szCs w:val="20"/>
          <w:color w:val="auto"/>
        </w:rPr>
      </w:pPr>
      <w:r>
        <w:rPr>
          <w:rFonts w:ascii="Arial" w:cs="Arial" w:eastAsia="Arial" w:hAnsi="Arial"/>
          <w:sz w:val="18"/>
          <w:szCs w:val="18"/>
          <w:color w:val="auto"/>
        </w:rPr>
        <w:t>To fund future acquisitions, we may pay cash or issue additional ADSs, which could dilute our shareholders’ value or diminish our cash reserves. Borrowing to fund an acquisition would result in increased fixed obligations and could also subject us to covenants or other restrictions that could limit our ability to effectively run our business.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Risks Relating to Legal or Regulatory Constraints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regulation with respect to political advertising, which lacks clarity and uniformity.</w:t>
      </w:r>
    </w:p>
    <w:p>
      <w:pPr>
        <w:spacing w:after="0" w:line="225" w:lineRule="exact"/>
        <w:rPr>
          <w:sz w:val="20"/>
          <w:szCs w:val="20"/>
          <w:color w:val="auto"/>
        </w:rPr>
      </w:pPr>
    </w:p>
    <w:p>
      <w:pPr>
        <w:jc w:val="both"/>
        <w:ind w:firstLine="487"/>
        <w:spacing w:after="0" w:line="301" w:lineRule="auto"/>
        <w:rPr>
          <w:sz w:val="20"/>
          <w:szCs w:val="20"/>
          <w:color w:val="auto"/>
        </w:rPr>
      </w:pPr>
      <w:r>
        <w:rPr>
          <w:rFonts w:ascii="Arial" w:cs="Arial" w:eastAsia="Arial" w:hAnsi="Arial"/>
          <w:sz w:val="16"/>
          <w:szCs w:val="16"/>
          <w:color w:val="auto"/>
        </w:rPr>
        <w:t>We are subject to regulation with respect to political advertising activities, which are governed by various federal and state laws in the United States and national and provincial laws worldwide. Online political advertising laws are rapidly evolving and our publishers may impose restrictions on receiving political advertising. The lack of uniformity and increasing compliance requirements around political advertising may adversely impact the amount of political advertising spent through our platform, increase our operating and compliance costs and subject us to potential liability from regulatory agencies.</w:t>
      </w:r>
    </w:p>
    <w:p>
      <w:pPr>
        <w:spacing w:after="0" w:line="15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We are subject to laws and regulations related to data privacy, data protection and information security and consumer protection across different markets where we conduct our business, including in the United States, the European Economic Area (“EEA”) and the United Kingdom and industry requirements and such laws, regulations and industry requirements are constantly evolving and changing.</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receive, store and process data about or related to consumers in addition to advertisers, publishers, employees and services providers. Our handling of this data is subject to a variety of federal, state and foreign laws and regulations and is subject to regulation by various government authorities and other regulatory bodies. Our data handling is also subject to contractual obligations and may be deemed to be subject to industry standards.</w:t>
      </w:r>
    </w:p>
    <w:p>
      <w:pPr>
        <w:spacing w:after="0" w:line="149" w:lineRule="exact"/>
        <w:rPr>
          <w:sz w:val="20"/>
          <w:szCs w:val="20"/>
          <w:color w:val="auto"/>
        </w:rPr>
      </w:pPr>
    </w:p>
    <w:p>
      <w:pPr>
        <w:jc w:val="both"/>
        <w:ind w:firstLine="520"/>
        <w:spacing w:after="0" w:line="272" w:lineRule="auto"/>
        <w:rPr>
          <w:sz w:val="20"/>
          <w:szCs w:val="20"/>
          <w:color w:val="auto"/>
        </w:rPr>
      </w:pPr>
      <w:r>
        <w:rPr>
          <w:rFonts w:ascii="Arial" w:cs="Arial" w:eastAsia="Arial" w:hAnsi="Arial"/>
          <w:sz w:val="17"/>
          <w:szCs w:val="17"/>
          <w:color w:val="auto"/>
        </w:rPr>
        <w:t>The U.S. federal and various state and foreign governments have adopted or proposed limitations on the collection, distribution, use and storage of data relating to individuals, including the use of contact information and other data for marketing, advertising and other communications with individuals and businesses. In the United States, various laws and regulations apply to the collection, processing, disclosure and security of certain types of data. Additionally, the U.S. Federal Trade Commission (“FTC”) and many state attorneys general are interpreting federal and state consumer protection laws as imposing standards for the online collection, use, dissemination and security of data. If we fail to comply with any such laws or regulations, we may be subject to enforcement actions that may not only expose us to litigation, fines and civil and/or criminal penalties but may also require us to change our business practices as well as have an adverse effect on our business, results of operations and financial condition.</w:t>
      </w:r>
    </w:p>
    <w:p>
      <w:pPr>
        <w:spacing w:after="0" w:line="177" w:lineRule="exact"/>
        <w:rPr>
          <w:sz w:val="20"/>
          <w:szCs w:val="20"/>
          <w:color w:val="auto"/>
        </w:rPr>
      </w:pPr>
    </w:p>
    <w:p>
      <w:pPr>
        <w:jc w:val="both"/>
        <w:ind w:firstLine="624"/>
        <w:spacing w:after="0" w:line="287" w:lineRule="auto"/>
        <w:rPr>
          <w:sz w:val="20"/>
          <w:szCs w:val="20"/>
          <w:color w:val="auto"/>
        </w:rPr>
      </w:pPr>
      <w:r>
        <w:rPr>
          <w:rFonts w:ascii="Arial" w:cs="Arial" w:eastAsia="Arial" w:hAnsi="Arial"/>
          <w:sz w:val="16"/>
          <w:szCs w:val="16"/>
          <w:color w:val="auto"/>
        </w:rPr>
        <w:t>The regulatory framework for and enforcement of data privacy issues worldwide is currently evolving and is likely to remain uncertain for the foreseeable future. The occurrence of unanticipated events often rapidly drives the adoption of legislation or regulation affecting the use, collection or other processing of data and manners in which we conduct our business. Restrictions could be placed upon the collection, management, aggregation and use of information, which could result in a material increase in the cost of collecting or otherwise obtaining certain kinds of data and could limit the ways in which we may use or disclose information. In particular, interest-based advertising, or the use of data to draw inferences about a user’s interests and deliver relevant advertising to that user, and similar or related practices (sometimes referred to as behavioral advertising or personalized advertising), such as cross-device data collection and aggregation, steps taken to de-identify personal data, and to use and distribute the resulting data, including for purposes of personalization and the targeting of advertisements, have come under increasing scrutiny by legislative, regulatory and self-regulatory bodies in the United States, the European Union and in other jurisdictions that focus on consumer protection or data privacy. Much of this scrutiny has focused on the use of cookies and other technology to collect information about consumers’ online browsing activity on web browsers, mobile devices and other devices, to associate such data with user or device identifiers or de-identified identities across devices and channels.</w:t>
      </w:r>
    </w:p>
    <w:p>
      <w:pPr>
        <w:spacing w:after="0" w:line="172" w:lineRule="exact"/>
        <w:rPr>
          <w:sz w:val="20"/>
          <w:szCs w:val="20"/>
          <w:color w:val="auto"/>
        </w:rPr>
      </w:pPr>
    </w:p>
    <w:p>
      <w:pPr>
        <w:jc w:val="both"/>
        <w:ind w:firstLine="577"/>
        <w:spacing w:after="0" w:line="268" w:lineRule="auto"/>
        <w:rPr>
          <w:sz w:val="20"/>
          <w:szCs w:val="20"/>
          <w:color w:val="auto"/>
        </w:rPr>
      </w:pPr>
      <w:r>
        <w:rPr>
          <w:rFonts w:ascii="Arial" w:cs="Arial" w:eastAsia="Arial" w:hAnsi="Arial"/>
          <w:sz w:val="17"/>
          <w:szCs w:val="17"/>
          <w:color w:val="auto"/>
        </w:rPr>
        <w:t>In addition, providers of Internet browsers, app stores or platforms such as Apple or Google have engaged in, or announced plans to continue or expand, efforts to provide increased visibility into, and certain controls over, cookies and similar technologies and the data collected using such technologies, as further described above in the section “—</w:t>
      </w:r>
      <w:r>
        <w:rPr>
          <w:rFonts w:ascii="Arial" w:cs="Arial" w:eastAsia="Arial" w:hAnsi="Arial"/>
          <w:sz w:val="17"/>
          <w:szCs w:val="17"/>
          <w:i w:val="1"/>
          <w:iCs w:val="1"/>
          <w:color w:val="auto"/>
        </w:rPr>
        <w:t>Risks Relating to our Business— If the use of digital advertising is rejected by consumers,</w:t>
      </w:r>
      <w:r>
        <w:rPr>
          <w:rFonts w:ascii="Arial" w:cs="Arial" w:eastAsia="Arial" w:hAnsi="Arial"/>
          <w:sz w:val="17"/>
          <w:szCs w:val="17"/>
          <w:color w:val="auto"/>
        </w:rPr>
        <w:t xml:space="preserve"> </w:t>
      </w:r>
      <w:r>
        <w:rPr>
          <w:rFonts w:ascii="Arial" w:cs="Arial" w:eastAsia="Arial" w:hAnsi="Arial"/>
          <w:sz w:val="17"/>
          <w:szCs w:val="17"/>
          <w:i w:val="1"/>
          <w:iCs w:val="1"/>
          <w:color w:val="auto"/>
        </w:rPr>
        <w:t>through opt-in, opt-out or ad-blocking technologies or other means, it could have an adverse effect on our business, results of operations and financial condition</w:t>
      </w:r>
      <w:r>
        <w:rPr>
          <w:rFonts w:ascii="Arial" w:cs="Arial" w:eastAsia="Arial" w:hAnsi="Arial"/>
          <w:sz w:val="17"/>
          <w:szCs w:val="17"/>
          <w:color w:val="auto"/>
        </w:rPr>
        <w:t>.” For example, in January 2020, Google announced that the Chrome browser will block third-party cookies at some point during the subsequent</w:t>
      </w:r>
      <w:r>
        <w:rPr>
          <w:rFonts w:ascii="Arial" w:cs="Arial" w:eastAsia="Arial" w:hAnsi="Arial"/>
          <w:sz w:val="17"/>
          <w:szCs w:val="17"/>
          <w:i w:val="1"/>
          <w:iCs w:val="1"/>
          <w:color w:val="auto"/>
        </w:rPr>
        <w:t xml:space="preserve"> </w:t>
      </w:r>
      <w:r>
        <w:rPr>
          <w:rFonts w:ascii="Arial" w:cs="Arial" w:eastAsia="Arial" w:hAnsi="Arial"/>
          <w:sz w:val="17"/>
          <w:szCs w:val="17"/>
          <w:color w:val="auto"/>
        </w:rPr>
        <w:t>24 months. Such providers could also change their technical requirements, guidelines or policies in other ways that adversely impact the way in which we or our customers collect, use and share data from user devices, including restricting our ability to use or read device identifiers, other tracking features or other device data. Because we, our advertisers and our publishers, rely upon large volumes of such data collected primarily through cookies and similar technologies, it is possible that these efforts may have a substantial impact on our ability to collect and use data from consumers, and it is essential that we monitor developments in this area domestically and globally, and engage in responsible privacy practices, including providing consumers with notice of the types of data we collect, how we use that data to provide our services and the ability to opt out of such use. There also is the risk that a provider could limit or discontinue our access to its platform or app store if it establishes more favorable relationships with one or more of our competitors or it determines that it is in their business interests to do so, and we would have no recourse against any such provider, which could have a material adverse effect on our business.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both"/>
        <w:ind w:firstLine="589"/>
        <w:spacing w:after="0" w:line="269" w:lineRule="auto"/>
        <w:rPr>
          <w:sz w:val="20"/>
          <w:szCs w:val="20"/>
          <w:color w:val="auto"/>
        </w:rPr>
      </w:pPr>
      <w:r>
        <w:rPr>
          <w:rFonts w:ascii="Arial" w:cs="Arial" w:eastAsia="Arial" w:hAnsi="Arial"/>
          <w:sz w:val="17"/>
          <w:szCs w:val="17"/>
          <w:color w:val="auto"/>
        </w:rPr>
        <w:t>In the United States, the U.S. Congress and state legislatures, along with federal regulatory authorities have recently increased their attention on matters concerning the collection and use of consumer data, including by digital advertisers. For example, the FTC regulates digital advertising through the Federal Trade Commission Act, which prohibits “unfair” or “deceptive” trade practices, including misrepresentations regarding the collection and use of consumer data. States have also begun to introduce more comprehensive privacy legislation. California enacted the California Consumer Privacy Act of 2018 (the “CCPA”) that took effect on January 1, 2020. The CCPA gives California residents expanded rights to access and delete their personal information, opt out of sale of their personal information, and receive detailed information about how their personal information is used. The CCPA provides for civil penalties for violations, as well as a private right of action for certain data breaches, which is expected to increase the volume and success of class action data breach litigation. In addition to increasing our compliance costs and potential liability, the CCPA created restrictions on “sales” of personal information that may restrict the disclosure of personal information for advertising purposes. Our advertising business relies, in part, on such disclosure, and decreased availability and increased costs of information could adversely affect our ability to meet advertisers’ and publishers’ requirements and could have an adverse effect on our business, results of operations and financial condition.</w:t>
      </w:r>
    </w:p>
    <w:p>
      <w:pPr>
        <w:spacing w:after="0" w:line="182"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will also be subject to the forthcoming California Privacy Rights Act (“CPRA”), which was passed into law on November 3, 2020, but will not take substantial effect until January 1, 2023. The CPRA will significantly modify the CCPA, including increasing regulation on online advertising and particularly cross-context behavioral advertising, potentially resulting in further uncertainty and requiring us to incur additional costs and expenses in an effort to comply. The effects of the CCPA and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92" w:lineRule="exact"/>
        <w:rPr>
          <w:sz w:val="20"/>
          <w:szCs w:val="20"/>
          <w:color w:val="auto"/>
        </w:rPr>
      </w:pPr>
    </w:p>
    <w:p>
      <w:pPr>
        <w:jc w:val="both"/>
        <w:ind w:firstLine="610"/>
        <w:spacing w:after="0" w:line="259" w:lineRule="auto"/>
        <w:rPr>
          <w:sz w:val="20"/>
          <w:szCs w:val="20"/>
          <w:color w:val="auto"/>
        </w:rPr>
      </w:pPr>
      <w:r>
        <w:rPr>
          <w:rFonts w:ascii="Arial" w:cs="Arial" w:eastAsia="Arial" w:hAnsi="Arial"/>
          <w:sz w:val="18"/>
          <w:szCs w:val="18"/>
          <w:color w:val="auto"/>
        </w:rPr>
        <w:t>The CCPA has encouraged “copycat” laws and in other states across the country, such as in Virginia and Washington. This legislation may add additional complexity, variation in requirements, restrictions and potential legal risk, require additional investment in resources to compliance programs and could impact strategies and availability of previously useful data and could result in increased compliance costs and/or changes in business practices and policies.</w:t>
      </w:r>
    </w:p>
    <w:p>
      <w:pPr>
        <w:spacing w:after="0" w:line="187"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7"/>
          <w:szCs w:val="17"/>
          <w:color w:val="auto"/>
        </w:rPr>
        <w:t>In the EEA, we are subject to the General Data Protection Regulation 2016/679 (“GDPR”) and in the United Kingdom, we are subject to the United Kingdom data protection regime consisting primarily of the UK General Data Protection Regulation and the UK Data Protection Act 2018, in each case in relation to our collection, control, processing, sharing, disclosure and other use of data relating to an identifiable living individual (personal data). The GDPR, and national implementing legislation in EEA member states and the United Kingdom, impose a strict data protection compliance regime including: providing detailed disclosures about how personal data is collected and processed (in a concise, intelligible and easily accessible form); demonstrating that an appropriate legal basis is in place or otherwise exists to justify data processing activities; granting new rights for data subjects in regard to their personal data (including the right to be “forgotten” and the right to data portability), as well as enhancing current rights (e.g., data subject access requests); introducing the obligation to notify data protection regulators or supervisory authorities (and in certain cases, affected individuals) of significant data breaches; defining for the first time pseudonymized (i.e., key-coded) data; imposing limitations on retention of personal data; maintaining a record of data processing; and complying with the principal of accountability and the obligation to demonstrate compliance through policies, procedures, training and audit. Fines for certain breaches of the GDPR and the UK data protection regime are significant (e.g., fines for certain breaches of the GDPR are up to the greater of 20 million Euros or 4% of total global annual turnover). In addition to the foregoing, a breach of the GDPR or UK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jc w:val="both"/>
        <w:ind w:firstLine="695"/>
        <w:spacing w:after="0" w:line="269" w:lineRule="auto"/>
        <w:rPr>
          <w:sz w:val="20"/>
          <w:szCs w:val="20"/>
          <w:color w:val="auto"/>
        </w:rPr>
      </w:pPr>
      <w:r>
        <w:rPr>
          <w:rFonts w:ascii="Arial" w:cs="Arial" w:eastAsia="Arial" w:hAnsi="Arial"/>
          <w:sz w:val="17"/>
          <w:szCs w:val="17"/>
          <w:color w:val="auto"/>
        </w:rPr>
        <w:t>Further, in the European Union and the United Kingdom, we are subject to evolving EU and UK privacy laws on cookies and e-marketing. Regulators in these countries are increasingly focusing on compliance with requirements in the online behavioral advertising ecosystem, and current national laws that implement the ePrivacy Directive are highly likely to be replaced by an EU regulation known as the ePrivacy Regulation which will significantly increase fines for non-compliance. While the text of the ePrivacy Regulation is still under development, a recent European court decision and regulators’ recent guidance are driving increased attention to cookies and tracking technologies. As regulators start to enforce the strict approach, this could lead to substantial costs, require significant systems changes, limit the effectiveness of our marketing activities, divert the attention of our technology personnel and subject us to additional liabilities. This strict approach to enforcement has already begun in a number of European jurisdictions. For instance, high profile investigations into the AdTech industry are underway in Germany and the United Kingdom. In a recent decision, the Belgium DPA found that a widely used mechanism to manage user preferences relating to targeted online advertising, the TCF, violated the GDPR and fined the industry body that developed it EUR 250,000.</w:t>
      </w:r>
    </w:p>
    <w:p>
      <w:pPr>
        <w:spacing w:after="0" w:line="185" w:lineRule="exact"/>
        <w:rPr>
          <w:sz w:val="20"/>
          <w:szCs w:val="20"/>
          <w:color w:val="auto"/>
        </w:rPr>
      </w:pPr>
    </w:p>
    <w:p>
      <w:pPr>
        <w:jc w:val="both"/>
        <w:ind w:firstLine="522"/>
        <w:spacing w:after="0" w:line="291" w:lineRule="auto"/>
        <w:rPr>
          <w:sz w:val="20"/>
          <w:szCs w:val="20"/>
          <w:color w:val="auto"/>
        </w:rPr>
      </w:pPr>
      <w:r>
        <w:rPr>
          <w:rFonts w:ascii="Arial" w:cs="Arial" w:eastAsia="Arial" w:hAnsi="Arial"/>
          <w:sz w:val="16"/>
          <w:szCs w:val="16"/>
          <w:color w:val="auto"/>
        </w:rPr>
        <w:t>We are also subject to laws and regulations that dictate whether, how and under what circumstances we can transfer, process and/or receive certain data that is critical to our operations, including data shared between countries or regions in which we operate and data shared among our products and services. Specifically, the GDPR, UK GDPR and other European and UK data protection laws generally prohibit the transfer of personal data from the EEA, UK and Switzerland to the United States and most other countries unless the transfer is to an entity established in a country deemed to be provide adequate protection (such as Israel) or the parties to the transfer have implemented specific safeguards to protect the transferred personal data. Where we transfer personal data outside the EEA to a country that is not deemed to be “adequate,” we ensure we comply with applicable laws including where we can rely on derogations (e.g., where the transfer is necessary for the performance of a contract) or we may put in place standard contractual clauses.</w:t>
      </w:r>
    </w:p>
    <w:p>
      <w:pPr>
        <w:spacing w:after="0" w:line="166" w:lineRule="exact"/>
        <w:rPr>
          <w:sz w:val="20"/>
          <w:szCs w:val="20"/>
          <w:color w:val="auto"/>
        </w:rPr>
      </w:pPr>
    </w:p>
    <w:p>
      <w:pPr>
        <w:jc w:val="both"/>
        <w:ind w:firstLine="740"/>
        <w:spacing w:after="0" w:line="263" w:lineRule="auto"/>
        <w:rPr>
          <w:sz w:val="20"/>
          <w:szCs w:val="20"/>
          <w:color w:val="auto"/>
        </w:rPr>
      </w:pPr>
      <w:r>
        <w:rPr>
          <w:rFonts w:ascii="Arial" w:cs="Arial" w:eastAsia="Arial" w:hAnsi="Arial"/>
          <w:sz w:val="18"/>
          <w:szCs w:val="18"/>
          <w:color w:val="auto"/>
        </w:rPr>
        <w:t>In addition, some jurisdictions may impose data localization laws, which require personal information, or certain subcategories of personal information to be stored in the jurisdiction of origin. These regulations may inhibit our ability to expand into those markets or prohibit us from continuing to offer our products in those markets without significant additional costs.</w:t>
      </w:r>
    </w:p>
    <w:p>
      <w:pPr>
        <w:spacing w:after="0" w:line="184" w:lineRule="exact"/>
        <w:rPr>
          <w:sz w:val="20"/>
          <w:szCs w:val="20"/>
          <w:color w:val="auto"/>
        </w:rPr>
      </w:pPr>
    </w:p>
    <w:p>
      <w:pPr>
        <w:jc w:val="both"/>
        <w:ind w:firstLine="454"/>
        <w:spacing w:after="0" w:line="285" w:lineRule="auto"/>
        <w:rPr>
          <w:sz w:val="20"/>
          <w:szCs w:val="20"/>
          <w:color w:val="auto"/>
        </w:rPr>
      </w:pPr>
      <w:r>
        <w:rPr>
          <w:rFonts w:ascii="Arial" w:cs="Arial" w:eastAsia="Arial" w:hAnsi="Arial"/>
          <w:sz w:val="16"/>
          <w:szCs w:val="16"/>
          <w:color w:val="auto"/>
        </w:rPr>
        <w:t>We also depend on a number of third-parties in relation to the operation of our business, a number of which process personal data on our behalf. With each such provider we attempt to mitigate the associated risks of using third parties by conducting due diligence, entering into contractual arrangements to require that providers only process personal data in accordance with the applicable laws, and that they have appropriate technical and organizational security measures in place. Where we transfer personal data outside the EEA or the United Kingdom to such third parties, we do so in compliance with the relevant data export requirements, as described above. There is no assurance that these contractual measures and our own privacy and security-related safeguards will protect us from the risks associated with the third-party processing, storage and transmission of such information. Any violation of data or security laws by our third-party processors could have a material adverse effect on our business and result in the fines and penalties outlined above. In addition to government regulation, privacy advocacy and industry groups may propose new and different self-regulatory standards that either legally or contractually apply to us, our advertisers or our publishers. We are members of self-regulatory bodies such as Data Advertising Alliance, European Digital Advertising Alliance, Digital Advertising Alliance of Canada, National Advertising Initiative and Interactive Advertising Bureau (“IAB”), among others, that impose additional requirements related to the collection, use and disclosure of consumer data. Under the requirements of these self- regulatory bodies, in addition to other compliance obligations, we are obligated to provide consumers with notice about our use of cookies and other technologies to collect consumer data and of our collection and use of consumer data for certain purposes, and to provide consumers with certain choices relating to the use of consumer data. Some of these self-regulatory bodies have the ability to discipline members or participants, which could result in fines, penalties and/or public censure (which could in turn cause reputational harm). Additionally, some of these self-regulatory bodies might refer violations of their requirements to the FTC or other regulatory bodies. If we were to be found responsible for such a violation, it could adversely affect our reputation, as well as our business, results of operations and financial condition.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jc w:val="both"/>
        <w:ind w:firstLine="522"/>
        <w:spacing w:after="0" w:line="257" w:lineRule="auto"/>
        <w:rPr>
          <w:sz w:val="20"/>
          <w:szCs w:val="20"/>
          <w:color w:val="auto"/>
        </w:rPr>
      </w:pPr>
      <w:r>
        <w:rPr>
          <w:rFonts w:ascii="Arial" w:cs="Arial" w:eastAsia="Arial" w:hAnsi="Arial"/>
          <w:sz w:val="18"/>
          <w:szCs w:val="18"/>
          <w:color w:val="auto"/>
        </w:rPr>
        <w:t>Any failure to achieve the required data protection standards (which are sometimes unclear when applied to the online advertising ecosystem) may result in lawsuits, regulatory fines or other actions or liability, all of which may harm our results of operations. Because the interpretation and application of privacy and data protection laws such as the CCPA and GDPR, and the related regulations and standards, are uncertain, it is possible that these laws, regulations and standards may be interpreted and applied in manners that are, or are asserted to be, inconsistent with our data management practices or the technological features of our solutions.</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publishers, buyers, and data providers do not obtain necessary and requisite consents from consumers for us to process their personal data, we could be subject to fines and liability.</w:t>
      </w:r>
    </w:p>
    <w:p>
      <w:pPr>
        <w:spacing w:after="0" w:line="170" w:lineRule="exact"/>
        <w:rPr>
          <w:sz w:val="20"/>
          <w:szCs w:val="20"/>
          <w:color w:val="auto"/>
        </w:rPr>
      </w:pPr>
    </w:p>
    <w:p>
      <w:pPr>
        <w:jc w:val="both"/>
        <w:ind w:firstLine="454"/>
        <w:spacing w:after="0" w:line="257" w:lineRule="auto"/>
        <w:rPr>
          <w:sz w:val="20"/>
          <w:szCs w:val="20"/>
          <w:color w:val="auto"/>
        </w:rPr>
      </w:pPr>
      <w:r>
        <w:rPr>
          <w:rFonts w:ascii="Arial" w:cs="Arial" w:eastAsia="Arial" w:hAnsi="Arial"/>
          <w:sz w:val="18"/>
          <w:szCs w:val="18"/>
          <w:color w:val="auto"/>
        </w:rPr>
        <w:t>Because we do not have direct relationships with consumers, we rely on publishers, buyers, and data providers, as applicable, to obtain the consent of the consumer on our behalf to process their data and deliver interest-based advertisements, and to implement any notice or choice mechanisms required under applicable laws, but if publishers, buyers, or data providers do not follow this process (and in any event as the legal requirements in this area continue to evolve and develop), we could be subject to fines and liability. We may not have adequate insurance or contractual indemnity arrangements to protect us against any such claims and losses.</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generally do not have a direct relationship with consumers who view advertisements placed through our platform, so we may not be able to disclaim liabilities from such consumers through terms of use on our platform.</w:t>
      </w:r>
    </w:p>
    <w:p>
      <w:pPr>
        <w:spacing w:after="0" w:line="170" w:lineRule="exact"/>
        <w:rPr>
          <w:sz w:val="20"/>
          <w:szCs w:val="20"/>
          <w:color w:val="auto"/>
        </w:rPr>
      </w:pPr>
    </w:p>
    <w:p>
      <w:pPr>
        <w:jc w:val="both"/>
        <w:ind w:firstLine="503"/>
        <w:spacing w:after="0" w:line="257" w:lineRule="auto"/>
        <w:rPr>
          <w:sz w:val="20"/>
          <w:szCs w:val="20"/>
          <w:color w:val="auto"/>
        </w:rPr>
      </w:pPr>
      <w:r>
        <w:rPr>
          <w:rFonts w:ascii="Arial" w:cs="Arial" w:eastAsia="Arial" w:hAnsi="Arial"/>
          <w:sz w:val="18"/>
          <w:szCs w:val="18"/>
          <w:color w:val="auto"/>
        </w:rPr>
        <w:t>Advertisements on websites, applications and other digital media properties of publishers purchased through our platform are viewed by consumers visiting the publishers’ digital media properties. Those publishers often have terms of use in place with their consumers that disclaim or limit their potential liabilities to consumers, or pursuant to which consumers waive rights to bring class actions against the publishers. We generally do not have terms of use in place with such consumers, so we cannot disclaim or limit potential liabilities to them through terms of use, which may expose us to greater liabilities than certain of our competitors.</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face potential liability and harm to our business based on the nature of our business and the content on our platform and we are, and may be in the future, involved in commercial disputes with counterparties with whom we do business.</w:t>
      </w:r>
    </w:p>
    <w:p>
      <w:pPr>
        <w:spacing w:after="0" w:line="170" w:lineRule="exact"/>
        <w:rPr>
          <w:sz w:val="20"/>
          <w:szCs w:val="20"/>
          <w:color w:val="auto"/>
        </w:rPr>
      </w:pPr>
    </w:p>
    <w:p>
      <w:pPr>
        <w:jc w:val="both"/>
        <w:ind w:firstLine="515"/>
        <w:spacing w:after="0" w:line="272" w:lineRule="auto"/>
        <w:rPr>
          <w:sz w:val="20"/>
          <w:szCs w:val="20"/>
          <w:color w:val="auto"/>
        </w:rPr>
      </w:pPr>
      <w:r>
        <w:rPr>
          <w:rFonts w:ascii="Arial" w:cs="Arial" w:eastAsia="Arial" w:hAnsi="Arial"/>
          <w:sz w:val="17"/>
          <w:szCs w:val="17"/>
          <w:color w:val="auto"/>
        </w:rPr>
        <w:t>Advertising often results in litigation relating to misleading or deceptive claims, copyright or trademark infringement, public performance royalties or other claims based on the nature and content of advertising that is distributed through our platform. Though we contractually require advertisers to generally represent to us that their advertisements comply with our ad standards and our inventory providers’ ad standards and that they have the rights necessary to serve advertisements through our platform, we do not independently verify whether we are permitted to deliver, or review the content of, such advertisements. If any of these representations are untrue, we may be exposed to potential liability and our reputation may be damaged. While our advertisers are typically obligated to indemnify us, such indemnification may not fully cover us, or we may not be able to collect. In addition to settlement costs, we may be responsible for our own litigation costs, which can be expensive.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jc w:val="both"/>
        <w:ind w:firstLine="559"/>
        <w:spacing w:after="0" w:line="253" w:lineRule="auto"/>
        <w:rPr>
          <w:sz w:val="20"/>
          <w:szCs w:val="20"/>
          <w:color w:val="auto"/>
        </w:rPr>
      </w:pPr>
      <w:r>
        <w:rPr>
          <w:rFonts w:ascii="Arial" w:cs="Arial" w:eastAsia="Arial" w:hAnsi="Arial"/>
          <w:sz w:val="18"/>
          <w:szCs w:val="18"/>
          <w:color w:val="auto"/>
        </w:rPr>
        <w:t>Further, operating in the advertising industry involves numerous commercial relationships, uncertain intellectual property rights and other aspects that create heightened risks of disputes, claims, lawsuits and investigations. In particular, we may face claims related to intellectual property matters, commercial disputes and sales and marketing practices. For example, on May 18, 2021, we filed a complaint against Alphonso, Inc. (“Alphonso”) asserting claims for breach of contract, tortious interference with business relations, intentional interference with contractual relations, unjust enrichment, and conversion in connection with Alphonso’s breach of certain contracts with us and related misconduct. The Court enjoined Alphonso from using Tremor’s confidential information but did not grant relief on our other claims. See Item 8.A. “</w:t>
      </w:r>
      <w:r>
        <w:rPr>
          <w:rFonts w:ascii="Arial" w:cs="Arial" w:eastAsia="Arial" w:hAnsi="Arial"/>
          <w:sz w:val="18"/>
          <w:szCs w:val="18"/>
          <w:i w:val="1"/>
          <w:iCs w:val="1"/>
          <w:color w:val="auto"/>
        </w:rPr>
        <w:t>Combined Statements and Other Financial Information – Legal</w:t>
      </w:r>
      <w:r>
        <w:rPr>
          <w:rFonts w:ascii="Arial" w:cs="Arial" w:eastAsia="Arial" w:hAnsi="Arial"/>
          <w:sz w:val="18"/>
          <w:szCs w:val="18"/>
          <w:color w:val="auto"/>
        </w:rPr>
        <w:t xml:space="preserve"> </w:t>
      </w:r>
      <w:r>
        <w:rPr>
          <w:rFonts w:ascii="Arial" w:cs="Arial" w:eastAsia="Arial" w:hAnsi="Arial"/>
          <w:sz w:val="18"/>
          <w:szCs w:val="18"/>
          <w:i w:val="1"/>
          <w:iCs w:val="1"/>
          <w:color w:val="auto"/>
        </w:rPr>
        <w:t>Proceedings</w:t>
      </w:r>
      <w:r>
        <w:rPr>
          <w:rFonts w:ascii="Arial" w:cs="Arial" w:eastAsia="Arial" w:hAnsi="Arial"/>
          <w:sz w:val="18"/>
          <w:szCs w:val="18"/>
          <w:color w:val="auto"/>
        </w:rPr>
        <w:t>” for further information. Any commercial dispute, claim, counterclaim, lawsuit or investigation, including our commercial dispute with</w:t>
      </w:r>
      <w:r>
        <w:rPr>
          <w:rFonts w:ascii="Arial" w:cs="Arial" w:eastAsia="Arial" w:hAnsi="Arial"/>
          <w:sz w:val="18"/>
          <w:szCs w:val="18"/>
          <w:i w:val="1"/>
          <w:iCs w:val="1"/>
          <w:color w:val="auto"/>
        </w:rPr>
        <w:t xml:space="preserve"> </w:t>
      </w:r>
      <w:r>
        <w:rPr>
          <w:rFonts w:ascii="Arial" w:cs="Arial" w:eastAsia="Arial" w:hAnsi="Arial"/>
          <w:sz w:val="18"/>
          <w:szCs w:val="18"/>
          <w:color w:val="auto"/>
        </w:rPr>
        <w:t>Alphonso, has and may divert our management’s attention away from our business, we have and may continue to incur significant expenses in addressing or defending any commercial dispute, claim, counterclaim or lawsuit or responding to any investigation, and we may be required to pay damage awards or settlements.</w:t>
      </w:r>
    </w:p>
    <w:p>
      <w:pPr>
        <w:spacing w:after="0" w:line="1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subject to anti-bribery, anti-corruption and similar laws and non-compliance with such laws can subject us to criminal penalties or significant fines and harm our business and reputation.</w:t>
      </w:r>
    </w:p>
    <w:p>
      <w:pPr>
        <w:spacing w:after="0" w:line="170" w:lineRule="exact"/>
        <w:rPr>
          <w:sz w:val="20"/>
          <w:szCs w:val="20"/>
          <w:color w:val="auto"/>
        </w:rPr>
      </w:pPr>
    </w:p>
    <w:p>
      <w:pPr>
        <w:jc w:val="both"/>
        <w:ind w:firstLine="462"/>
        <w:spacing w:after="0" w:line="263" w:lineRule="auto"/>
        <w:rPr>
          <w:sz w:val="20"/>
          <w:szCs w:val="20"/>
          <w:color w:val="auto"/>
        </w:rPr>
      </w:pPr>
      <w:r>
        <w:rPr>
          <w:rFonts w:ascii="Arial" w:cs="Arial" w:eastAsia="Arial" w:hAnsi="Arial"/>
          <w:sz w:val="18"/>
          <w:szCs w:val="18"/>
          <w:color w:val="auto"/>
        </w:rPr>
        <w:t>We may be subject to certain economic and trade sanctions laws and regulations, export control and import laws and regulations, including those that are administered by the U.S. Department of Treasury’s Office of Foreign Assets Control, the U.S. Department of State, the U.S. Department of Commerce, the United Nations Security Council and other relevant governmental authorities.</w:t>
      </w:r>
    </w:p>
    <w:p>
      <w:pPr>
        <w:spacing w:after="0" w:line="184" w:lineRule="exact"/>
        <w:rPr>
          <w:sz w:val="20"/>
          <w:szCs w:val="20"/>
          <w:color w:val="auto"/>
        </w:rPr>
      </w:pPr>
    </w:p>
    <w:p>
      <w:pPr>
        <w:jc w:val="both"/>
        <w:ind w:firstLine="573"/>
        <w:spacing w:after="0" w:line="255" w:lineRule="auto"/>
        <w:rPr>
          <w:sz w:val="20"/>
          <w:szCs w:val="20"/>
          <w:color w:val="auto"/>
        </w:rPr>
      </w:pPr>
      <w:r>
        <w:rPr>
          <w:rFonts w:ascii="Arial" w:cs="Arial" w:eastAsia="Arial" w:hAnsi="Arial"/>
          <w:sz w:val="18"/>
          <w:szCs w:val="18"/>
          <w:color w:val="auto"/>
        </w:rPr>
        <w:t>We are also subject to the FCPA, the U.K. Bribery Act, Chapter 9 (sub-chapter 5) of the Israeli Penal Law, 5737-1977, the Israeli Prohibition on Money Laundering Law, 5760-2000 and other anti-bribery laws in countries in which we conduct our activities. These laws generally prohibit companies, their employees and third-party intermediaries from authorizing, promising, offering, providing, soliciting or accepting, directly or indirectly, improper payments or benefits to or from any person whether in the public or private sector. In addition, the FCPA’s accounting provisions require us to maintain accurate books and records and a system of internal accounting controls. We have policies, procedures, systems and controls designed to promote compliance with applicable anti-corruption laws.</w:t>
      </w:r>
    </w:p>
    <w:p>
      <w:pPr>
        <w:spacing w:after="0" w:line="192" w:lineRule="exact"/>
        <w:rPr>
          <w:sz w:val="20"/>
          <w:szCs w:val="20"/>
          <w:color w:val="auto"/>
        </w:rPr>
      </w:pPr>
    </w:p>
    <w:p>
      <w:pPr>
        <w:jc w:val="both"/>
        <w:ind w:firstLine="450"/>
        <w:spacing w:after="0" w:line="301" w:lineRule="auto"/>
        <w:rPr>
          <w:sz w:val="20"/>
          <w:szCs w:val="20"/>
          <w:color w:val="auto"/>
        </w:rPr>
      </w:pPr>
      <w:r>
        <w:rPr>
          <w:rFonts w:ascii="Arial" w:cs="Arial" w:eastAsia="Arial" w:hAnsi="Arial"/>
          <w:sz w:val="16"/>
          <w:szCs w:val="16"/>
          <w:color w:val="auto"/>
        </w:rPr>
        <w:t>As we increase our global sales and business, we may engage with business partners and third-party intermediaries to market our solutions and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authorize such activities.</w:t>
      </w:r>
    </w:p>
    <w:p>
      <w:pPr>
        <w:spacing w:after="0" w:line="157" w:lineRule="exact"/>
        <w:rPr>
          <w:sz w:val="20"/>
          <w:szCs w:val="20"/>
          <w:color w:val="auto"/>
        </w:rPr>
      </w:pPr>
    </w:p>
    <w:p>
      <w:pPr>
        <w:jc w:val="both"/>
        <w:ind w:firstLine="489"/>
        <w:spacing w:after="0" w:line="270" w:lineRule="auto"/>
        <w:rPr>
          <w:sz w:val="20"/>
          <w:szCs w:val="20"/>
          <w:color w:val="auto"/>
        </w:rPr>
      </w:pPr>
      <w:r>
        <w:rPr>
          <w:rFonts w:ascii="Arial" w:cs="Arial" w:eastAsia="Arial" w:hAnsi="Arial"/>
          <w:sz w:val="17"/>
          <w:szCs w:val="17"/>
          <w:color w:val="auto"/>
        </w:rPr>
        <w:t>Our advertisers or publishers may have consumers in countries that are subject to U.S. economic sanctions laws and regulations administered by the Office of Foreign Assets Control (“OFAC”), the Israeli Trade with the Enemy Ordinance, 1939 and sanction laws of the EU and other applicable jurisdictions, which prohibit the sale of products to embargoed jurisdictions or sanctioned parties (“Sanctioned Countries”). We have taken steps to avoid serving advertisements to consumers located in Sanctioned Countries and are implementing various control mechanisms designed to prevent unauthorized dealings with Sanctioned Countries going forward. Although we have taken precautions to prevent our solutions from being provided, deployed or used in violation of sanctions laws, due to the remote nature of our solutions and the potential for manipulation using VPNs, we cannot assure you that our policies and procedures relating to sanctions compliance will prevent any violations in the future. If we are found to be in violation of any applicable sanctions regulations, it can result in significant fines or penalties and possible incarceration for responsible employees and managers, as well as reputational harm and loss of business.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jc w:val="both"/>
        <w:ind w:firstLine="467"/>
        <w:spacing w:after="0" w:line="269" w:lineRule="auto"/>
        <w:rPr>
          <w:sz w:val="20"/>
          <w:szCs w:val="20"/>
          <w:color w:val="auto"/>
        </w:rPr>
      </w:pPr>
      <w:r>
        <w:rPr>
          <w:rFonts w:ascii="Arial" w:cs="Arial" w:eastAsia="Arial" w:hAnsi="Arial"/>
          <w:sz w:val="17"/>
          <w:szCs w:val="17"/>
          <w:color w:val="auto"/>
        </w:rPr>
        <w:t>Despite our compliance efforts and activities, there can be no assurance that our employees or representatives will comply with the relevant laws and we may be held responsible. Noncompliance with anti- corruption, anti-money laundering, export control, economic and trade sanctions and other trade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initiated, or governmental or other sanctions are imposed, or if we do not prevail in any possible civil or criminal litigation, our business, financial condition and results of operations could be materially harmed. Responding to any action could result in a materially significant diversion of management’s attention and resources and significant defense and compliance costs and other professional fees. In addition, regulatory authorities may seek to hold us liable for successor liability for violations committed by companies in which we invest or that we acquire. As a general matter, enforcement actions and sanctions could harm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ADSs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ADSs and the trading volume of our ADSs may be volatile, and you may lose all or part of your investment.</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Technology stocks have historically experienced high level of price and volume fluctuation. The market prices of our ADSs and ordinary shares and volume trading have fluctuated substantially and may continue to do so as a result of many factors, including:</w:t>
      </w:r>
    </w:p>
    <w:p>
      <w:pPr>
        <w:spacing w:after="0" w:line="170" w:lineRule="exact"/>
        <w:rPr>
          <w:sz w:val="20"/>
          <w:szCs w:val="20"/>
          <w:color w:val="auto"/>
        </w:rPr>
      </w:pPr>
    </w:p>
    <w:p>
      <w:pPr>
        <w:ind w:left="1620" w:hanging="343"/>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w:t>
      </w:r>
    </w:p>
    <w:p>
      <w:pPr>
        <w:spacing w:after="0" w:line="225" w:lineRule="exact"/>
        <w:rPr>
          <w:rFonts w:ascii="Arial" w:cs="Arial" w:eastAsia="Arial" w:hAnsi="Arial"/>
          <w:sz w:val="18"/>
          <w:szCs w:val="18"/>
          <w:color w:val="auto"/>
        </w:rPr>
      </w:pPr>
    </w:p>
    <w:p>
      <w:pPr>
        <w:ind w:left="1620" w:hanging="343"/>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market analysts;</w:t>
      </w:r>
    </w:p>
    <w:p>
      <w:pPr>
        <w:spacing w:after="0" w:line="225" w:lineRule="exact"/>
        <w:rPr>
          <w:rFonts w:ascii="Arial" w:cs="Arial" w:eastAsia="Arial" w:hAnsi="Arial"/>
          <w:sz w:val="18"/>
          <w:szCs w:val="18"/>
          <w:color w:val="auto"/>
        </w:rPr>
      </w:pPr>
    </w:p>
    <w:p>
      <w:pPr>
        <w:ind w:left="1620" w:right="680" w:hanging="343"/>
        <w:spacing w:after="0" w:line="277" w:lineRule="auto"/>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direct or indirect competition of significant business developments, changes in service provider relationships, acquisitions or expansion plans;</w:t>
      </w:r>
    </w:p>
    <w:p>
      <w:pPr>
        <w:spacing w:after="0" w:line="170" w:lineRule="exact"/>
        <w:rPr>
          <w:rFonts w:ascii="Arial" w:cs="Arial" w:eastAsia="Arial" w:hAnsi="Arial"/>
          <w:sz w:val="18"/>
          <w:szCs w:val="18"/>
          <w:color w:val="auto"/>
        </w:rPr>
      </w:pPr>
    </w:p>
    <w:p>
      <w:pPr>
        <w:ind w:left="1620" w:hanging="343"/>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the COVID-19 pandemic on our management, employees, partners, merchants and operating results;</w:t>
      </w:r>
    </w:p>
    <w:p>
      <w:pPr>
        <w:spacing w:after="0" w:line="225" w:lineRule="exact"/>
        <w:rPr>
          <w:rFonts w:ascii="Arial" w:cs="Arial" w:eastAsia="Arial" w:hAnsi="Arial"/>
          <w:sz w:val="18"/>
          <w:szCs w:val="18"/>
          <w:color w:val="auto"/>
        </w:rPr>
      </w:pPr>
    </w:p>
    <w:p>
      <w:pPr>
        <w:ind w:left="1620" w:right="240" w:hanging="343"/>
        <w:spacing w:after="0" w:line="277" w:lineRule="auto"/>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or enforcement of laws or regulations affecting our business;</w:t>
      </w:r>
    </w:p>
    <w:p>
      <w:pPr>
        <w:spacing w:after="0" w:line="170" w:lineRule="exact"/>
        <w:rPr>
          <w:rFonts w:ascii="Arial" w:cs="Arial" w:eastAsia="Arial" w:hAnsi="Arial"/>
          <w:sz w:val="18"/>
          <w:szCs w:val="18"/>
          <w:color w:val="auto"/>
        </w:rPr>
      </w:pPr>
    </w:p>
    <w:p>
      <w:pPr>
        <w:ind w:left="1620" w:hanging="343"/>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pricing model;</w:t>
      </w:r>
    </w:p>
    <w:p>
      <w:pPr>
        <w:spacing w:after="0" w:line="225" w:lineRule="exact"/>
        <w:rPr>
          <w:rFonts w:ascii="Arial" w:cs="Arial" w:eastAsia="Arial" w:hAnsi="Arial"/>
          <w:sz w:val="18"/>
          <w:szCs w:val="18"/>
          <w:color w:val="auto"/>
        </w:rPr>
      </w:pPr>
    </w:p>
    <w:p>
      <w:pPr>
        <w:ind w:left="1620" w:hanging="343"/>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involvement in litigation or regulatory actions;</w:t>
      </w:r>
    </w:p>
    <w:p>
      <w:pPr>
        <w:spacing w:after="0" w:line="225" w:lineRule="exact"/>
        <w:rPr>
          <w:rFonts w:ascii="Arial" w:cs="Arial" w:eastAsia="Arial" w:hAnsi="Arial"/>
          <w:sz w:val="18"/>
          <w:szCs w:val="18"/>
          <w:color w:val="auto"/>
        </w:rPr>
      </w:pPr>
    </w:p>
    <w:p>
      <w:pPr>
        <w:ind w:left="1620" w:hanging="343"/>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sale of ADSs or other securities in the future;</w:t>
      </w:r>
    </w:p>
    <w:p>
      <w:pPr>
        <w:spacing w:after="0" w:line="225" w:lineRule="exact"/>
        <w:rPr>
          <w:rFonts w:ascii="Arial" w:cs="Arial" w:eastAsia="Arial" w:hAnsi="Arial"/>
          <w:sz w:val="18"/>
          <w:szCs w:val="18"/>
          <w:color w:val="auto"/>
        </w:rPr>
      </w:pPr>
    </w:p>
    <w:p>
      <w:pPr>
        <w:ind w:left="1620" w:hanging="343"/>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buyback program for our ordinary shares or the implementation of a buyback program for our ADSs;</w:t>
      </w:r>
    </w:p>
    <w:p>
      <w:pPr>
        <w:spacing w:after="0" w:line="225" w:lineRule="exact"/>
        <w:rPr>
          <w:rFonts w:ascii="Arial" w:cs="Arial" w:eastAsia="Arial" w:hAnsi="Arial"/>
          <w:sz w:val="18"/>
          <w:szCs w:val="18"/>
          <w:color w:val="auto"/>
        </w:rPr>
      </w:pPr>
    </w:p>
    <w:p>
      <w:pPr>
        <w:ind w:left="1620" w:hanging="343"/>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conditions in our industry;</w:t>
      </w:r>
    </w:p>
    <w:p>
      <w:pPr>
        <w:spacing w:after="0" w:line="225" w:lineRule="exact"/>
        <w:rPr>
          <w:rFonts w:ascii="Arial" w:cs="Arial" w:eastAsia="Arial" w:hAnsi="Arial"/>
          <w:sz w:val="18"/>
          <w:szCs w:val="18"/>
          <w:color w:val="auto"/>
        </w:rPr>
      </w:pPr>
    </w:p>
    <w:p>
      <w:pPr>
        <w:ind w:left="1620" w:hanging="343"/>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key personnel;</w:t>
      </w:r>
    </w:p>
    <w:p>
      <w:pPr>
        <w:spacing w:after="0" w:line="225" w:lineRule="exact"/>
        <w:rPr>
          <w:rFonts w:ascii="Arial" w:cs="Arial" w:eastAsia="Arial" w:hAnsi="Arial"/>
          <w:sz w:val="18"/>
          <w:szCs w:val="18"/>
          <w:color w:val="auto"/>
        </w:rPr>
      </w:pPr>
    </w:p>
    <w:p>
      <w:pPr>
        <w:ind w:left="1620" w:hanging="343"/>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dual listing and the trading of our ordinary shares on the AIM;</w:t>
      </w:r>
    </w:p>
    <w:p>
      <w:pPr>
        <w:spacing w:after="0" w:line="225" w:lineRule="exact"/>
        <w:rPr>
          <w:rFonts w:ascii="Arial" w:cs="Arial" w:eastAsia="Arial" w:hAnsi="Arial"/>
          <w:sz w:val="18"/>
          <w:szCs w:val="18"/>
          <w:color w:val="auto"/>
        </w:rPr>
      </w:pPr>
    </w:p>
    <w:p>
      <w:pPr>
        <w:ind w:left="1620" w:hanging="343"/>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trading volume of our ADSs;</w:t>
      </w:r>
    </w:p>
    <w:p>
      <w:pPr>
        <w:spacing w:after="0" w:line="225" w:lineRule="exact"/>
        <w:rPr>
          <w:rFonts w:ascii="Arial" w:cs="Arial" w:eastAsia="Arial" w:hAnsi="Arial"/>
          <w:sz w:val="18"/>
          <w:szCs w:val="18"/>
          <w:color w:val="auto"/>
        </w:rPr>
      </w:pPr>
    </w:p>
    <w:p>
      <w:pPr>
        <w:ind w:left="1620" w:right="80" w:hanging="343"/>
        <w:spacing w:after="0" w:line="277" w:lineRule="auto"/>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publication of research reports or news stories about us, our competition or our industry, or positive or negative recommendations or withdrawal of research coverage by securities analysts;</w:t>
      </w:r>
    </w:p>
    <w:p>
      <w:pPr>
        <w:spacing w:after="0" w:line="170" w:lineRule="exact"/>
        <w:rPr>
          <w:rFonts w:ascii="Arial" w:cs="Arial" w:eastAsia="Arial" w:hAnsi="Arial"/>
          <w:sz w:val="18"/>
          <w:szCs w:val="18"/>
          <w:color w:val="auto"/>
        </w:rPr>
      </w:pPr>
    </w:p>
    <w:p>
      <w:pPr>
        <w:ind w:left="1620" w:hanging="343"/>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 and</w:t>
      </w:r>
    </w:p>
    <w:p>
      <w:pPr>
        <w:spacing w:after="0" w:line="225" w:lineRule="exact"/>
        <w:rPr>
          <w:rFonts w:ascii="Arial" w:cs="Arial" w:eastAsia="Arial" w:hAnsi="Arial"/>
          <w:sz w:val="18"/>
          <w:szCs w:val="18"/>
          <w:color w:val="auto"/>
        </w:rPr>
      </w:pPr>
    </w:p>
    <w:p>
      <w:pPr>
        <w:ind w:left="1620" w:hanging="343"/>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geopolitical and market conditions.</w:t>
      </w:r>
    </w:p>
    <w:p>
      <w:pPr>
        <w:spacing w:after="0" w:line="225" w:lineRule="exact"/>
        <w:rPr>
          <w:sz w:val="20"/>
          <w:szCs w:val="20"/>
          <w:color w:val="auto"/>
        </w:rPr>
      </w:pPr>
    </w:p>
    <w:p>
      <w:pPr>
        <w:jc w:val="both"/>
        <w:ind w:firstLine="573"/>
        <w:spacing w:after="0" w:line="270" w:lineRule="auto"/>
        <w:rPr>
          <w:sz w:val="20"/>
          <w:szCs w:val="20"/>
          <w:color w:val="auto"/>
        </w:rPr>
      </w:pPr>
      <w:r>
        <w:rPr>
          <w:rFonts w:ascii="Arial" w:cs="Arial" w:eastAsia="Arial" w:hAnsi="Arial"/>
          <w:sz w:val="17"/>
          <w:szCs w:val="17"/>
          <w:color w:val="auto"/>
        </w:rPr>
        <w:t>Although our ADSs are traded on Nasdaq, the trading volume is low. Given the lower trading volume of our ADSs, any sale of our ADSs could cause our market price to fall. Due to the nature of our compensation program, our executive officers can sell our ADSs, often pursuant to trading plans established under Rule 10b5-1 of the Exchange Act, and certain of our executive officers currently have 10b5-1 trading plans in place. As a result, sales of ADSs and ordinary shares by our executive officers may not be indicative of their respective opinions of our performance at the time of sale or of our potential future performance. Nonetheless, the market price of our ADSs and ordinary shares may be affected by sales of shares by our executive officers. In addition, the stock markets have experienced extreme price and volume fluctuations. Broad market and industry factors may materially harm the market price of our ADSs and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w:t>
      </w:r>
    </w:p>
    <w:p>
      <w:pPr>
        <w:sectPr>
          <w:pgSz w:w="11900" w:h="16838" w:orient="portrait"/>
          <w:cols w:equalWidth="0" w:num="1">
            <w:col w:w="11240"/>
          </w:cols>
          <w:pgMar w:left="320" w:top="125" w:right="33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ind w:right="180"/>
        <w:spacing w:after="0" w:line="277" w:lineRule="auto"/>
        <w:rPr>
          <w:sz w:val="20"/>
          <w:szCs w:val="20"/>
          <w:color w:val="auto"/>
        </w:rPr>
      </w:pPr>
      <w:r>
        <w:rPr>
          <w:rFonts w:ascii="Arial" w:cs="Arial" w:eastAsia="Arial" w:hAnsi="Arial"/>
          <w:sz w:val="18"/>
          <w:szCs w:val="18"/>
          <w:b w:val="1"/>
          <w:bCs w:val="1"/>
          <w:i w:val="1"/>
          <w:iCs w:val="1"/>
          <w:color w:val="auto"/>
        </w:rPr>
        <w:t>There was no public market for our ADSs prior our IPO in June 2021, and an active trading market may not develop at the rate and volume expected which may impact investors’ ability to sell our ADSs.</w:t>
      </w:r>
    </w:p>
    <w:p>
      <w:pPr>
        <w:spacing w:after="0" w:line="170" w:lineRule="exact"/>
        <w:rPr>
          <w:sz w:val="20"/>
          <w:szCs w:val="20"/>
          <w:color w:val="auto"/>
        </w:rPr>
      </w:pPr>
    </w:p>
    <w:p>
      <w:pPr>
        <w:jc w:val="both"/>
        <w:ind w:firstLine="454"/>
        <w:spacing w:after="0" w:line="259" w:lineRule="auto"/>
        <w:rPr>
          <w:sz w:val="20"/>
          <w:szCs w:val="20"/>
          <w:color w:val="auto"/>
        </w:rPr>
      </w:pPr>
      <w:r>
        <w:rPr>
          <w:rFonts w:ascii="Arial" w:cs="Arial" w:eastAsia="Arial" w:hAnsi="Arial"/>
          <w:sz w:val="18"/>
          <w:szCs w:val="18"/>
          <w:color w:val="auto"/>
        </w:rPr>
        <w:t>Prior to our IPO, there was no public market for our ADSs, although our ordinary shares have traded on AIM. An active trading market for our ADSs may not develop at the rate or volume expected or such market may not be sustained. The lack of an active market may impair your ability to sell your ADSs at the time you wish to sell them or at a price that you consider reasonable. An inactive market may also impair our ability to raise capital by selling ADSs and may impair our ability to acquire other companies by using our ADSs as consideration.</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do not meet the expectations of equity research analysts, if they do not publish research or reports about our business or if they issue unfavorable commentary or downgrade our ADSs, the price of our ADSs and trading volume could decline.</w:t>
      </w:r>
    </w:p>
    <w:p>
      <w:pPr>
        <w:spacing w:after="0" w:line="170" w:lineRule="exact"/>
        <w:rPr>
          <w:sz w:val="20"/>
          <w:szCs w:val="20"/>
          <w:color w:val="auto"/>
        </w:rPr>
      </w:pPr>
    </w:p>
    <w:p>
      <w:pPr>
        <w:jc w:val="both"/>
        <w:ind w:firstLine="640"/>
        <w:spacing w:after="0" w:line="257" w:lineRule="auto"/>
        <w:rPr>
          <w:sz w:val="20"/>
          <w:szCs w:val="20"/>
          <w:color w:val="auto"/>
        </w:rPr>
      </w:pPr>
      <w:r>
        <w:rPr>
          <w:rFonts w:ascii="Arial" w:cs="Arial" w:eastAsia="Arial" w:hAnsi="Arial"/>
          <w:sz w:val="18"/>
          <w:szCs w:val="18"/>
          <w:color w:val="auto"/>
        </w:rPr>
        <w:t>The trading market for our ADSs rely in part on the research and reports that equity research analysts publish about us and our business. The analysts’ estimates are based upon their own opinions and are often different from our estimates or expectations. If our results of operations are below the estimates or expectations of public market analysts and investors, the price of our ADSs could decline. Moreover, the price and trading volume of our ADSs could decline if one or more securities analysts downgrade our ADSs or if those analysts issue other unfavorable commentary or cease publishing reports about us or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dual listing of our ordinary shares and our ADSs may adversely affect the liquidity and value of our ordinary shares and ADSs.</w:t>
      </w:r>
    </w:p>
    <w:p>
      <w:pPr>
        <w:spacing w:after="0" w:line="225" w:lineRule="exact"/>
        <w:rPr>
          <w:sz w:val="20"/>
          <w:szCs w:val="20"/>
          <w:color w:val="auto"/>
        </w:rPr>
      </w:pPr>
    </w:p>
    <w:p>
      <w:pPr>
        <w:jc w:val="both"/>
        <w:ind w:firstLine="517"/>
        <w:spacing w:after="0" w:line="290" w:lineRule="auto"/>
        <w:rPr>
          <w:sz w:val="20"/>
          <w:szCs w:val="20"/>
          <w:color w:val="auto"/>
        </w:rPr>
      </w:pPr>
      <w:r>
        <w:rPr>
          <w:rFonts w:ascii="Arial" w:cs="Arial" w:eastAsia="Arial" w:hAnsi="Arial"/>
          <w:sz w:val="16"/>
          <w:szCs w:val="16"/>
          <w:color w:val="auto"/>
        </w:rPr>
        <w:t>Our ordinary shares are also admitted to trading on AIM in a different currency (U.S. dollars on Nasdaq, and £ on the AIM), and at different times (resulting from different time zones and different public holidays in the United States and the U.K.). We cannot predict the effect of this dual listing on the value of our ADSs and ordinary shares. However, the dual listing of our ADSs and ordinary shares may dilute the liquidity of these securities in one or both markets and may adversely affect the development of an active trading market for our ADSs in the United States. The price of our ADSs could also be adversely affected by trading in our ordinary shares on AIM or by our repurchase program. Although our ordinary shares are currently admitted to trading on AIM, we may decide to cancel the admission of our ordinary shares to trading on AIM. Cancellation of the admission of our ordinary shares to trading on AIM would require the requisite consent of shareholders in a general meeting prescribed by AIM Rules for Companies unless the London Stock Exchange agrees otherwise. We cannot predict the effect such cancellation would have on the market price of our ADSs or ordinary shares.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qualify as an emerging growth company, as defined in the Securities Act, and we cannot be certain if the reduced disclosure requirements applicable to emerging growth companies will make our ADSs less attractive to investors because we may rely on these reduced disclosure requirements.</w:t>
      </w:r>
    </w:p>
    <w:p>
      <w:pPr>
        <w:spacing w:after="0" w:line="184" w:lineRule="exact"/>
        <w:rPr>
          <w:sz w:val="20"/>
          <w:szCs w:val="20"/>
          <w:color w:val="auto"/>
        </w:rPr>
      </w:pPr>
    </w:p>
    <w:p>
      <w:pPr>
        <w:jc w:val="both"/>
        <w:ind w:firstLine="622"/>
        <w:spacing w:after="0" w:line="270" w:lineRule="auto"/>
        <w:rPr>
          <w:sz w:val="20"/>
          <w:szCs w:val="20"/>
          <w:color w:val="auto"/>
        </w:rPr>
      </w:pPr>
      <w:r>
        <w:rPr>
          <w:rFonts w:ascii="Arial" w:cs="Arial" w:eastAsia="Arial" w:hAnsi="Arial"/>
          <w:sz w:val="17"/>
          <w:szCs w:val="17"/>
          <w:color w:val="auto"/>
        </w:rPr>
        <w:t>We qualify as an emerging growth company, as defined in Section 2(a) of the Securities Act, as modified by the JOBS Act. For as long as we continue to be an emerging growth company, we may take advantage of certain exemptions from various reporting requirements that are applicable to other public companies that are not emerging growth companies, including presenting only limited selected financial data and not being required to comply with the auditor attestation requirements of Section 404 of the Sarbanes-Oxley Act. As a result, our shareholders may not have access to certain information that they may deem important. We could be an emerging growth company for up to five years, although circumstances could cause us to lose that status earlier, including if our total annual revenue exceeds $1.07 billion, if we issue more than $1.0 billion in non-convertible debt securities during any three-year period, or if before that time we are a “large accelerated filer” under U.S. securities laws. We cannot predict if investors will find our ADSs less attractive because we may rely on these exemptions. If some investors find our ordinary shares less attractive as a result, there may be a less active trading market for our ordinary shares and our share price may be more volatile.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ind w:right="140"/>
        <w:spacing w:after="0" w:line="277" w:lineRule="auto"/>
        <w:rPr>
          <w:sz w:val="20"/>
          <w:szCs w:val="20"/>
          <w:color w:val="auto"/>
        </w:rPr>
      </w:pPr>
      <w:r>
        <w:rPr>
          <w:rFonts w:ascii="Arial" w:cs="Arial" w:eastAsia="Arial" w:hAnsi="Arial"/>
          <w:sz w:val="18"/>
          <w:szCs w:val="18"/>
          <w:b w:val="1"/>
          <w:bCs w:val="1"/>
          <w:i w:val="1"/>
          <w:iCs w:val="1"/>
          <w:color w:val="auto"/>
        </w:rPr>
        <w:t>We are foreign private issuer and, as a result, we will not be subject to U.S. proxy rules and will be subject to Exchange Act reporting obligations that, to some extent, are more lenient and less frequent than those of a U.S. domestic public company.</w:t>
      </w:r>
    </w:p>
    <w:p>
      <w:pPr>
        <w:spacing w:after="0" w:line="170" w:lineRule="exact"/>
        <w:rPr>
          <w:sz w:val="20"/>
          <w:szCs w:val="20"/>
          <w:color w:val="auto"/>
        </w:rPr>
      </w:pPr>
    </w:p>
    <w:p>
      <w:pPr>
        <w:jc w:val="both"/>
        <w:ind w:firstLine="470"/>
        <w:spacing w:after="0" w:line="269" w:lineRule="auto"/>
        <w:rPr>
          <w:sz w:val="20"/>
          <w:szCs w:val="20"/>
          <w:color w:val="auto"/>
        </w:rPr>
      </w:pPr>
      <w:r>
        <w:rPr>
          <w:rFonts w:ascii="Arial" w:cs="Arial" w:eastAsia="Arial" w:hAnsi="Arial"/>
          <w:sz w:val="17"/>
          <w:szCs w:val="17"/>
          <w:color w:val="auto"/>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 (2) the sections of the Exchange Act requiring insiders to file public reports of their share ownership and trading activities and liability for insiders who profit from trades made in a short period of time and (3) the rules under the Exchange Act requiring the filing with the SEC of quarterly reports on Form 10-Q containing unaudited financial and other specified information, although we are subject to Israeli laws and regulations with regard to certain of these matters and intend to furnish comparable quarterly information on Form 6-K.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you may not have the same protections afforded to shareholders of a company that is not a foreign private issuer.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costs and expenses.</w:t>
      </w:r>
    </w:p>
    <w:p>
      <w:pPr>
        <w:spacing w:after="0" w:line="225" w:lineRule="exact"/>
        <w:rPr>
          <w:sz w:val="20"/>
          <w:szCs w:val="20"/>
          <w:color w:val="auto"/>
        </w:rPr>
      </w:pPr>
    </w:p>
    <w:p>
      <w:pPr>
        <w:jc w:val="both"/>
        <w:ind w:firstLine="597"/>
        <w:spacing w:after="0" w:line="269" w:lineRule="auto"/>
        <w:rPr>
          <w:sz w:val="20"/>
          <w:szCs w:val="20"/>
          <w:color w:val="auto"/>
        </w:rPr>
      </w:pPr>
      <w:r>
        <w:rPr>
          <w:rFonts w:ascii="Arial" w:cs="Arial" w:eastAsia="Arial" w:hAnsi="Arial"/>
          <w:sz w:val="17"/>
          <w:szCs w:val="17"/>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2022. In the future, we would lose our foreign private issuer status if (1) more than 50% of our outstanding voting securities are owned by U.S. residents and (2) a majority of our directors or executive officers are U.S. citizens or residents, or we fail to meet additional requirements necessary to avoid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rules of Nasdaq. As a U.S. listed public company that is not a foreign private issuer, we will incur significant additional legal, accounting and other expenses that we will not incur as a foreign private issuer.</w:t>
      </w:r>
    </w:p>
    <w:p>
      <w:pPr>
        <w:spacing w:after="0" w:line="182"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As we are a “foreign private issuer” and follow certain home country corporate governance practices, our shareholders may not have the same protections afforded to shareholders of companies that are subject to all Nasdaq corporate governance requirements.</w:t>
      </w:r>
    </w:p>
    <w:p>
      <w:pPr>
        <w:spacing w:after="0" w:line="124" w:lineRule="exact"/>
        <w:rPr>
          <w:sz w:val="20"/>
          <w:szCs w:val="20"/>
          <w:color w:val="auto"/>
        </w:rPr>
      </w:pPr>
    </w:p>
    <w:p>
      <w:pPr>
        <w:jc w:val="both"/>
        <w:ind w:firstLine="488"/>
        <w:spacing w:after="0" w:line="259" w:lineRule="auto"/>
        <w:rPr>
          <w:sz w:val="20"/>
          <w:szCs w:val="20"/>
          <w:color w:val="auto"/>
        </w:rPr>
      </w:pPr>
      <w:r>
        <w:rPr>
          <w:rFonts w:ascii="Arial" w:cs="Arial" w:eastAsia="Arial" w:hAnsi="Arial"/>
          <w:sz w:val="18"/>
          <w:szCs w:val="18"/>
          <w:color w:val="auto"/>
        </w:rPr>
        <w:t>As a foreign private issuer, we have the option to follow certain home country corporate governance practices rather than those of Nasdaq, provided that we disclose the requirements we are not following and describe the home country practices we are following. We may in the future elect to follow home country practices with regard to other matters. As a result, our shareholders may not have the same protections afforded to shareholders of companies that are subject to all Nasdaq corporate governance requirements.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The market price of our ADSs could be negatively affected by future issuances and sales of our ADSs or ordinary shares.</w:t>
      </w:r>
    </w:p>
    <w:p>
      <w:pPr>
        <w:spacing w:after="0" w:line="225" w:lineRule="exact"/>
        <w:rPr>
          <w:sz w:val="20"/>
          <w:szCs w:val="20"/>
          <w:color w:val="auto"/>
        </w:rPr>
      </w:pPr>
    </w:p>
    <w:p>
      <w:pPr>
        <w:jc w:val="both"/>
        <w:ind w:firstLine="563"/>
        <w:spacing w:after="0" w:line="263" w:lineRule="auto"/>
        <w:rPr>
          <w:sz w:val="20"/>
          <w:szCs w:val="20"/>
          <w:color w:val="auto"/>
        </w:rPr>
      </w:pPr>
      <w:r>
        <w:rPr>
          <w:rFonts w:ascii="Arial" w:cs="Arial" w:eastAsia="Arial" w:hAnsi="Arial"/>
          <w:sz w:val="18"/>
          <w:szCs w:val="18"/>
          <w:color w:val="auto"/>
        </w:rPr>
        <w:t>As of March 4, 2022, 154,377,856 ordinary shares were outstanding. Sales by us or our shareholders of a substantial number of ADSs or ordinary shares in the public market, or the perception that these sales might occur, could cause the market price of our ADSs to decline or could impair our ability to raise capital through a future sale of, or pay for acquisitions using, our equity securities.</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cannot guarantee that we will repurchase any of our ordinary shares pursuant to our announced repurchase plan or that our repurchase plan will enhance long-term shareholder value.</w:t>
      </w:r>
    </w:p>
    <w:p>
      <w:pPr>
        <w:spacing w:after="0" w:line="170"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On February 24, 2022, we announced a repurchase plan under which up to $75 million is available to purchase our ordinary shares. The specific timing and amount of repurchases, if any, will depend upon several factors, including market and business conditions, the trading price of our ordinary shares, and the nature of other investment opportunities.</w:t>
      </w:r>
    </w:p>
    <w:p>
      <w:pPr>
        <w:spacing w:after="0" w:line="184" w:lineRule="exact"/>
        <w:rPr>
          <w:sz w:val="20"/>
          <w:szCs w:val="20"/>
          <w:color w:val="auto"/>
        </w:rPr>
      </w:pPr>
    </w:p>
    <w:p>
      <w:pPr>
        <w:jc w:val="both"/>
        <w:ind w:firstLine="483"/>
        <w:spacing w:after="0" w:line="259" w:lineRule="auto"/>
        <w:rPr>
          <w:sz w:val="20"/>
          <w:szCs w:val="20"/>
          <w:color w:val="auto"/>
        </w:rPr>
      </w:pPr>
      <w:r>
        <w:rPr>
          <w:rFonts w:ascii="Arial" w:cs="Arial" w:eastAsia="Arial" w:hAnsi="Arial"/>
          <w:sz w:val="18"/>
          <w:szCs w:val="18"/>
          <w:color w:val="auto"/>
        </w:rPr>
        <w:t>Repurchases of our ordinary shares pursuant to our repurchase plan could affect the market price of our ADSs and/or ordinary shares or increase the volatility. Additionally, our repurchase plan could diminish our cash reserves, which may impact our ability to finance future growth and to pursue possible future strategic opportunities and acquisitions. There is no assurance that our repurchase plan will enhance long-term shareholder value, and short-term share price fluctuations could reduce the repurchase plan’s effectiveness.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can be no assurance that we will not be classified as a passive foreign investment company, which could result in adverse U.S. federal income tax consequences to United States Holders of our ADSs.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 would be classified as a passive foreign investment company (“PFIC”) for any taxable year if, after the application of certain look-through rules,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either: (i) 75% or more of our gross income for such year is “passive income” (as defined in the relevant provisions of the Internal Revenue Code of 1986,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amended), or (ii) 50% or more of the value of our assets (determined on the basis of a quarterly average) during such year is attributable to assets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produce or are held for the production of passive income. For these purposes, cash and other assets readily convertible into cash or that do or could generate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passive income are categorized as passive assets, and the value of goodwill and other unbooked intangible assets is generally taken into account. Passive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generally includes, among other things, rents, dividends, interest, royalties, gains from the disposition of passive assets and gains from commodities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securities transactions. For purposes of this test, we will be treated as owning a proportionate share of the assets and earning a proportionate share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income of any other corporation of which we own, directly or indirectly, 25% or more (by value) of the stock. Based on the current and anticipated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composition of our income, assets and operations, and the current price of the ADSs, we do not expect to be treated as a PFIC for the current taxable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in the foreseeable future. However, whether we are a PFIC is a factual determination that must be made annually after the close of each taxable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Moreover, the value of our assets for purposes of the PFIC determination may be determined by reference to the public price of our ADSs, which could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fluctuate significantly. In addition, it is possible that the Internal Revenue Service (the “IRS”) may take a contrary position with respect to our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determination in any particular year, and therefore, there can be no assurance that we will not be classified as a PFIC in the current taxable year or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future. Certain adverse U.S. federal income tax consequences could apply to a United States Holder (as defined in Item 10.E. “</w:t>
      </w:r>
      <w:r>
        <w:rPr>
          <w:rFonts w:ascii="Arial" w:cs="Arial" w:eastAsia="Arial" w:hAnsi="Arial"/>
          <w:sz w:val="16"/>
          <w:szCs w:val="16"/>
          <w:i w:val="1"/>
          <w:iCs w:val="1"/>
          <w:color w:val="auto"/>
        </w:rPr>
        <w:t>Taxation—U.S. Federal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Considerations</w:t>
      </w:r>
      <w:r>
        <w:rPr>
          <w:rFonts w:ascii="Arial" w:cs="Arial" w:eastAsia="Arial" w:hAnsi="Arial"/>
          <w:sz w:val="17"/>
          <w:szCs w:val="17"/>
          <w:color w:val="auto"/>
        </w:rPr>
        <w:t>”) if we are treated as a PFIC for any taxable year during which such United States Holder holds our ADSs. United States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Holders should consult their tax advisors about the potential application of the PFIC rules to their investment in our ADSs. For further discussion, see Item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10.E. “</w:t>
      </w:r>
      <w:r>
        <w:rPr>
          <w:rFonts w:ascii="Arial" w:cs="Arial" w:eastAsia="Arial" w:hAnsi="Arial"/>
          <w:sz w:val="18"/>
          <w:szCs w:val="18"/>
          <w:i w:val="1"/>
          <w:iCs w:val="1"/>
          <w:color w:val="auto"/>
        </w:rPr>
        <w:t>Taxation— U.S. Federal Income Tax Considerations – Passive Foreign Investment Company</w:t>
      </w: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5"/>
          <w:szCs w:val="15"/>
          <w:b w:val="1"/>
          <w:bCs w:val="1"/>
          <w:i w:val="1"/>
          <w:iCs w:val="1"/>
          <w:color w:val="auto"/>
        </w:rPr>
        <w:t>If a United States person is treated as owning at least 10% of our ADSs, such holder may be subject to adverse U.S. federal income tax consequences.</w:t>
      </w:r>
    </w:p>
    <w:p>
      <w:pPr>
        <w:spacing w:after="0" w:line="260" w:lineRule="exact"/>
        <w:rPr>
          <w:sz w:val="20"/>
          <w:szCs w:val="20"/>
          <w:color w:val="auto"/>
        </w:rPr>
      </w:pPr>
    </w:p>
    <w:p>
      <w:pPr>
        <w:jc w:val="both"/>
        <w:ind w:firstLine="562"/>
        <w:spacing w:after="0" w:line="268" w:lineRule="auto"/>
        <w:rPr>
          <w:sz w:val="20"/>
          <w:szCs w:val="20"/>
          <w:color w:val="auto"/>
        </w:rPr>
      </w:pPr>
      <w:r>
        <w:rPr>
          <w:rFonts w:ascii="Arial" w:cs="Arial" w:eastAsia="Arial" w:hAnsi="Arial"/>
          <w:sz w:val="17"/>
          <w:szCs w:val="17"/>
          <w:color w:val="auto"/>
        </w:rPr>
        <w:t>If a United States person is treated as owning (directly, indirectly or constructively) at least 10% of the value or voting power of our ADSs, such person may be treated as a “United States shareholder” with respect to each controlled foreign corporation (“CFC”) in our group (if any). Because our group includes U.S. subsidiaries, certain of our non-U.S. subsidiaries could be treated as CFCs (regardless of whether or not we are treated as a CFC). A United States shareholder of a CFC may be required to report annually and include in its U.S. taxable income its pro rata share of “Subpart F income,” “global intangible low-taxed income,” and investments in U.S. property by CFCs, regardless of whether we make any distributions. An individual that is a United States shareholder with respect to a CFC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investors in determining whether we are or any of our non-U.S. subsidiaries is treated as a CFC or whether any investor is treated as a United States shareholder with respect to any such CFC or furnish to any United States shareholders information that may be necessary to comply with the aforementioned reporting and tax paying obligations. The IRS has provided limited guidance on situations in which investors may rely on publicly available information to comply with their reporting and tax paying obligations with respect to foreign-controlled CFCs. A United States investor should consult its advisors regarding the potential application of these rules to an investment in our ADSs.</w:t>
      </w:r>
    </w:p>
    <w:p>
      <w:pPr>
        <w:spacing w:after="0" w:line="18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have broad discretion over the use of proceeds we received in our IPO and may not apply the proceeds in ways that increase the value of your investment.</w:t>
      </w:r>
    </w:p>
    <w:p>
      <w:pPr>
        <w:spacing w:after="0" w:line="170" w:lineRule="exact"/>
        <w:rPr>
          <w:sz w:val="20"/>
          <w:szCs w:val="20"/>
          <w:color w:val="auto"/>
        </w:rPr>
      </w:pPr>
    </w:p>
    <w:p>
      <w:pPr>
        <w:jc w:val="both"/>
        <w:ind w:firstLine="613"/>
        <w:spacing w:after="0" w:line="254" w:lineRule="auto"/>
        <w:rPr>
          <w:sz w:val="20"/>
          <w:szCs w:val="20"/>
          <w:color w:val="auto"/>
        </w:rPr>
      </w:pPr>
      <w:r>
        <w:rPr>
          <w:rFonts w:ascii="Arial" w:cs="Arial" w:eastAsia="Arial" w:hAnsi="Arial"/>
          <w:sz w:val="18"/>
          <w:szCs w:val="18"/>
          <w:color w:val="auto"/>
        </w:rPr>
        <w:t>We intend to use and have used the net proceeds from our IPO for working capital, general corporate purpose and to fund incremental growth, including for possible acquisitions. However, we do not currently have any definitive or preliminary plans with respect to the use of proceeds for such purposes in the future. Consequently, our management has broad discretion over the specific use of the net proceeds from our IPO and may do so in a way with which our investors disagree. The failure by our management to apply and invest these funds effectively may not yield a favorable return to our investors and may adversely affect our business and financial condition. Pending their use, we may invest the net proceeds in a manner that does not produce income or that loses value. If we do not use the net proceeds effectively, our business, results of operations and financial condition could be adversely affected.</w:t>
      </w:r>
    </w:p>
    <w:p>
      <w:pPr>
        <w:spacing w:after="0" w:line="19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U.S. listed public company, and our management is required to devote substantial time to new compliance initiatives and corporate governance practices.</w:t>
      </w:r>
    </w:p>
    <w:p>
      <w:pPr>
        <w:spacing w:after="0" w:line="170" w:lineRule="exact"/>
        <w:rPr>
          <w:sz w:val="20"/>
          <w:szCs w:val="20"/>
          <w:color w:val="auto"/>
        </w:rPr>
      </w:pPr>
    </w:p>
    <w:p>
      <w:pPr>
        <w:jc w:val="both"/>
        <w:ind w:firstLine="454"/>
        <w:spacing w:after="0" w:line="272" w:lineRule="auto"/>
        <w:rPr>
          <w:sz w:val="20"/>
          <w:szCs w:val="20"/>
          <w:color w:val="auto"/>
        </w:rPr>
      </w:pPr>
      <w:r>
        <w:rPr>
          <w:rFonts w:ascii="Arial" w:cs="Arial" w:eastAsia="Arial" w:hAnsi="Arial"/>
          <w:sz w:val="17"/>
          <w:szCs w:val="17"/>
          <w:color w:val="auto"/>
        </w:rPr>
        <w:t>As a U.S. listed public company, and particularly after we are no longer an emerging growth company, we will incur significant legal, accounting and other expenses. The Sarbanes-Oxley Act, the Dodd-Frank Wall Street Reform and the Consumer Protection Act, the listing requirements of Nasdaq and their applicable securities rules and regulations impose various requirements on non-U.S. reporting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 and make it more difficult for us to attract and retain qualified members of our board of directors.</w:t>
      </w:r>
    </w:p>
    <w:p>
      <w:pPr>
        <w:spacing w:after="0" w:line="177" w:lineRule="exact"/>
        <w:rPr>
          <w:sz w:val="20"/>
          <w:szCs w:val="20"/>
          <w:color w:val="auto"/>
        </w:rPr>
      </w:pPr>
    </w:p>
    <w:p>
      <w:pPr>
        <w:jc w:val="both"/>
        <w:ind w:firstLine="525"/>
        <w:spacing w:after="0" w:line="286" w:lineRule="auto"/>
        <w:rPr>
          <w:sz w:val="20"/>
          <w:szCs w:val="20"/>
          <w:color w:val="auto"/>
        </w:rPr>
      </w:pPr>
      <w:r>
        <w:rPr>
          <w:rFonts w:ascii="Arial" w:cs="Arial" w:eastAsia="Arial" w:hAnsi="Arial"/>
          <w:sz w:val="17"/>
          <w:szCs w:val="17"/>
          <w:color w:val="auto"/>
        </w:rPr>
        <w:t>In addition, the applicable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ind w:right="220"/>
        <w:spacing w:after="0" w:line="277" w:lineRule="auto"/>
        <w:rPr>
          <w:sz w:val="20"/>
          <w:szCs w:val="20"/>
          <w:color w:val="auto"/>
        </w:rPr>
      </w:pPr>
      <w:r>
        <w:rPr>
          <w:rFonts w:ascii="Arial" w:cs="Arial" w:eastAsia="Arial" w:hAnsi="Arial"/>
          <w:sz w:val="18"/>
          <w:szCs w:val="18"/>
          <w:b w:val="1"/>
          <w:bCs w:val="1"/>
          <w:i w:val="1"/>
          <w:iCs w:val="1"/>
          <w:color w:val="auto"/>
        </w:rPr>
        <w:t>Because we may not pay any cash dividends on our ADSs in the future, capital appreciation, if any, may be holders of ADSs sole source of gains and they may never receive a return on their investment.</w:t>
      </w:r>
    </w:p>
    <w:p>
      <w:pPr>
        <w:spacing w:after="0" w:line="170" w:lineRule="exact"/>
        <w:rPr>
          <w:sz w:val="20"/>
          <w:szCs w:val="20"/>
          <w:color w:val="auto"/>
        </w:rPr>
      </w:pPr>
    </w:p>
    <w:p>
      <w:pPr>
        <w:jc w:val="both"/>
        <w:ind w:firstLine="585"/>
        <w:spacing w:after="0" w:line="291" w:lineRule="auto"/>
        <w:rPr>
          <w:sz w:val="20"/>
          <w:szCs w:val="20"/>
          <w:color w:val="auto"/>
        </w:rPr>
      </w:pPr>
      <w:r>
        <w:rPr>
          <w:rFonts w:ascii="Arial" w:cs="Arial" w:eastAsia="Arial" w:hAnsi="Arial"/>
          <w:sz w:val="16"/>
          <w:szCs w:val="16"/>
          <w:color w:val="auto"/>
        </w:rPr>
        <w:t>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The Israeli Companies Law, 5759-1999, or the Companies Law, imposes restrictions on our ability to declare and pay dividends. See Item 5.B “</w:t>
      </w:r>
      <w:r>
        <w:rPr>
          <w:rFonts w:ascii="Arial" w:cs="Arial" w:eastAsia="Arial" w:hAnsi="Arial"/>
          <w:sz w:val="16"/>
          <w:szCs w:val="16"/>
          <w:i w:val="1"/>
          <w:iCs w:val="1"/>
          <w:color w:val="auto"/>
        </w:rPr>
        <w:t>Operating and Financial Review and Prospects—Liquidity and Capital Resources</w:t>
      </w:r>
      <w:r>
        <w:rPr>
          <w:rFonts w:ascii="Arial" w:cs="Arial" w:eastAsia="Arial" w:hAnsi="Arial"/>
          <w:sz w:val="16"/>
          <w:szCs w:val="16"/>
          <w:color w:val="auto"/>
        </w:rPr>
        <w:t>” for additional information. Payment of dividends may also be subject to Israeli withholding taxes. See Item, 10.E. “</w:t>
      </w:r>
      <w:r>
        <w:rPr>
          <w:rFonts w:ascii="Arial" w:cs="Arial" w:eastAsia="Arial" w:hAnsi="Arial"/>
          <w:sz w:val="16"/>
          <w:szCs w:val="16"/>
          <w:i w:val="1"/>
          <w:iCs w:val="1"/>
          <w:color w:val="auto"/>
        </w:rPr>
        <w:t>Taxation</w:t>
      </w:r>
      <w:r>
        <w:rPr>
          <w:rFonts w:ascii="Arial" w:cs="Arial" w:eastAsia="Arial" w:hAnsi="Arial"/>
          <w:sz w:val="16"/>
          <w:szCs w:val="16"/>
          <w:color w:val="auto"/>
        </w:rPr>
        <w:t>” for additional information. As a result, capital appreciation, if any, on our ADSs may be your sole source of gains, and you will suffer a loss on your investment if you are unable to sell your ADSs at or above the price at which you purchased the ADSs. See Item 8.A.“</w:t>
      </w:r>
      <w:r>
        <w:rPr>
          <w:rFonts w:ascii="Arial" w:cs="Arial" w:eastAsia="Arial" w:hAnsi="Arial"/>
          <w:sz w:val="16"/>
          <w:szCs w:val="16"/>
          <w:i w:val="1"/>
          <w:iCs w:val="1"/>
          <w:color w:val="auto"/>
        </w:rPr>
        <w:t>Consolidated Statements and Other Financial Information – Dividend Policy</w:t>
      </w:r>
      <w:r>
        <w:rPr>
          <w:rFonts w:ascii="Arial" w:cs="Arial" w:eastAsia="Arial" w:hAnsi="Arial"/>
          <w:sz w:val="16"/>
          <w:szCs w:val="16"/>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Securities traded on AIM may carry a higher risk than securities traded on other exchanges, which may impact the value of your investment.</w:t>
      </w:r>
    </w:p>
    <w:p>
      <w:pPr>
        <w:spacing w:after="0" w:line="248" w:lineRule="exact"/>
        <w:rPr>
          <w:sz w:val="20"/>
          <w:szCs w:val="20"/>
          <w:color w:val="auto"/>
        </w:rPr>
      </w:pPr>
    </w:p>
    <w:p>
      <w:pPr>
        <w:jc w:val="both"/>
        <w:ind w:firstLine="646"/>
        <w:spacing w:after="0" w:line="270" w:lineRule="auto"/>
        <w:rPr>
          <w:sz w:val="20"/>
          <w:szCs w:val="20"/>
          <w:color w:val="auto"/>
        </w:rPr>
      </w:pPr>
      <w:r>
        <w:rPr>
          <w:rFonts w:ascii="Arial" w:cs="Arial" w:eastAsia="Arial" w:hAnsi="Arial"/>
          <w:sz w:val="17"/>
          <w:szCs w:val="17"/>
          <w:color w:val="auto"/>
        </w:rPr>
        <w:t>Our ordinary shares are currently traded on AIM. Investment in equities traded on AIM is sometimes perceived to carry a higher risk than an investment in equities quoted on exchanges with more stringent listing requirements, such as the main market of the London Stock Exchange, New York Stock Exchange or the Nasdaq Stock Market. This is because AIM is less heavily regulated and imposes less stringent corporate governance and ongoing reporting requirements than those other exchanges. In addition, AIM requires only half-yearly, rather than quarterly (which would apply to us in the U.S., if we are no longer classified as a foreign private issuer), financial reporting. You should be aware that the value of our ordinary shares may be influenced by many factors, some of which may be specific to us and some of which may affect AIM-quoted companies generally, including the depth and liquidity of the market, our performance, a large or small volume of trading in our ordinary shares, legislative changes and general economic, political or regulatory conditions, and that the prices may be volatile and subject to extensive fluctuations. Therefore, the market price of our ordinary shares, our ADSs or the ordinary shares underlying our ADSs, may not reflect the underlying value of our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be able to exercise your right to vote the ordinary shares underlying your ADSs.</w:t>
      </w:r>
    </w:p>
    <w:p>
      <w:pPr>
        <w:spacing w:after="0" w:line="225" w:lineRule="exact"/>
        <w:rPr>
          <w:sz w:val="20"/>
          <w:szCs w:val="20"/>
          <w:color w:val="auto"/>
        </w:rPr>
      </w:pPr>
    </w:p>
    <w:p>
      <w:pPr>
        <w:jc w:val="both"/>
        <w:ind w:firstLine="480"/>
        <w:spacing w:after="0" w:line="293" w:lineRule="auto"/>
        <w:rPr>
          <w:sz w:val="20"/>
          <w:szCs w:val="20"/>
          <w:color w:val="auto"/>
        </w:rPr>
      </w:pPr>
      <w:r>
        <w:rPr>
          <w:rFonts w:ascii="Arial" w:cs="Arial" w:eastAsia="Arial" w:hAnsi="Arial"/>
          <w:sz w:val="16"/>
          <w:szCs w:val="16"/>
          <w:color w:val="auto"/>
        </w:rPr>
        <w:t>ADS holders may only exercise voting rights with respect to the ordinary shares underlying their respective ADSs in accordance with the provisions of the deposit agreement, which provides that a holder may vote the ordinary shares underlying any ADSs for any particular matter to be voted on by our shareholders either by withdrawing the ordinary shares underlying the ADSs or, to the extent permitted by applicable law and as permitted by the depositary, by requesting a temporary registration as shareholder and authorizing the depositary to act as proxy. However, you may not know about the meeting far enough in advance to withdraw those ordinary shares, and after such a withdrawal you would no longer hold ADSs, but rather you would directly hold the underlying ordinary shares. You also may not know about the meeting far enough in advance to request a temporary registration.</w:t>
      </w:r>
    </w:p>
    <w:p>
      <w:pPr>
        <w:spacing w:after="0" w:line="164" w:lineRule="exact"/>
        <w:rPr>
          <w:sz w:val="20"/>
          <w:szCs w:val="20"/>
          <w:color w:val="auto"/>
        </w:rPr>
      </w:pPr>
    </w:p>
    <w:p>
      <w:pPr>
        <w:jc w:val="both"/>
        <w:ind w:firstLine="491"/>
        <w:spacing w:after="0" w:line="269" w:lineRule="auto"/>
        <w:rPr>
          <w:sz w:val="20"/>
          <w:szCs w:val="20"/>
          <w:color w:val="auto"/>
        </w:rPr>
      </w:pPr>
      <w:r>
        <w:rPr>
          <w:rFonts w:ascii="Arial" w:cs="Arial" w:eastAsia="Arial" w:hAnsi="Arial"/>
          <w:sz w:val="17"/>
          <w:szCs w:val="17"/>
          <w:color w:val="auto"/>
        </w:rPr>
        <w:t>The depositary will try, as far as practical, to vote the ordinary shares underlying the ADSs as instructed by the ADS holders. In such an instance, if we ask for your instructions, the depositary, upon timely notice from us, will notify you of the upcoming vote and arrange to deliver our voting materials to you. We cannot guarantee that you will receive the voting materials in time to ensure that you can instruct the depositary to vote your ordinary shares or to withdraw your ordinary shares so that you can vote them yourself. If the depositary does not receive timely voting instructions from you, it may give a discretionary proxy to a person designated by us to vote the ordinary shares underlying your ADSs;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 Voting instructions may be given only in respect of a number of ADSs representing an integral number of ordinary shares or other deposited securities. In addition, the depositary and its agents are not responsible for failing to carry out voting instructions or for the manner of carrying out voting instructions. This means that you may not be able to exercise any right to vote that you may have with respect to the underlying ordinary shares, and there may be nothing you can do if the ordinary shares underlying your ADSs are not voted as you requested. In addition, the depositary is only required to notify you of any particular vote if it receives notice from us in advance of the scheduled meeting.</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ind w:right="580"/>
        <w:spacing w:after="0" w:line="277" w:lineRule="auto"/>
        <w:rPr>
          <w:sz w:val="20"/>
          <w:szCs w:val="20"/>
          <w:color w:val="auto"/>
        </w:rPr>
      </w:pPr>
      <w:r>
        <w:rPr>
          <w:rFonts w:ascii="Arial" w:cs="Arial" w:eastAsia="Arial" w:hAnsi="Arial"/>
          <w:sz w:val="18"/>
          <w:szCs w:val="18"/>
          <w:b w:val="1"/>
          <w:bCs w:val="1"/>
          <w:i w:val="1"/>
          <w:iCs w:val="1"/>
          <w:color w:val="auto"/>
        </w:rPr>
        <w:t>Holders of the ADSs are not able to exercise the preemptive subscription rights related to the ordinary shares that they represent and may suffer dilution of their equity holding in the event of future issuances of our ordinary shares.</w:t>
      </w:r>
    </w:p>
    <w:p>
      <w:pPr>
        <w:spacing w:after="0" w:line="170" w:lineRule="exact"/>
        <w:rPr>
          <w:sz w:val="20"/>
          <w:szCs w:val="20"/>
          <w:color w:val="auto"/>
        </w:rPr>
      </w:pPr>
    </w:p>
    <w:p>
      <w:pPr>
        <w:jc w:val="both"/>
        <w:ind w:firstLine="454"/>
        <w:spacing w:after="0" w:line="259" w:lineRule="auto"/>
        <w:rPr>
          <w:sz w:val="20"/>
          <w:szCs w:val="20"/>
          <w:color w:val="auto"/>
        </w:rPr>
      </w:pPr>
      <w:r>
        <w:rPr>
          <w:rFonts w:ascii="Arial" w:cs="Arial" w:eastAsia="Arial" w:hAnsi="Arial"/>
          <w:sz w:val="18"/>
          <w:szCs w:val="18"/>
          <w:color w:val="auto"/>
        </w:rPr>
        <w:t>As an AIM-quoted company, our articles of association currently in effect follow English law which generally provides shareholders with preemptive rights when new shares are issued for cash. Shareholders’ preemptive subscription rights, in the event of issuances of ordinary shares against cash payment, may be disapplied by a special resolution of the shareholders at a general meeting of our shareholders. The absence of preemptive rights for existing equity holders may cause dilution to such holders.</w:t>
      </w:r>
    </w:p>
    <w:p>
      <w:pPr>
        <w:spacing w:after="0" w:line="187" w:lineRule="exact"/>
        <w:rPr>
          <w:sz w:val="20"/>
          <w:szCs w:val="20"/>
          <w:color w:val="auto"/>
        </w:rPr>
      </w:pPr>
    </w:p>
    <w:p>
      <w:pPr>
        <w:jc w:val="both"/>
        <w:ind w:firstLine="585"/>
        <w:spacing w:after="0" w:line="293" w:lineRule="auto"/>
        <w:rPr>
          <w:sz w:val="20"/>
          <w:szCs w:val="20"/>
          <w:color w:val="auto"/>
        </w:rPr>
      </w:pPr>
      <w:r>
        <w:rPr>
          <w:rFonts w:ascii="Arial" w:cs="Arial" w:eastAsia="Arial" w:hAnsi="Arial"/>
          <w:sz w:val="16"/>
          <w:szCs w:val="16"/>
          <w:color w:val="auto"/>
        </w:rPr>
        <w:t>Furthermore, the ADS holders are not entitled, even if such rights accrued to our shareholders in any given instance, to receive such preemptive subscription rights related to the ordinary shares that they represent. Rather, the depositary is required to endeavor to sell any such subscription rights that may accrue to the ordinary shares underlying the ADSs and to remit the net proceeds therefrom to the ADS holders pro rata. In addition, if the depositary is unable to sell rights, the depositary will allow the rights to lapse, in which case you will receive no value for these rights. Further, if we offer holders of our ordinary shares the option to receive dividends in either cash or ordinary shares, under the deposit agreement, ADS holders will not be permitted to elect to receive dividends in ordinary shares or cash, but will receive whichever option we provide as a default to shareholders who fail to make such an election.</w:t>
      </w:r>
    </w:p>
    <w:p>
      <w:pPr>
        <w:spacing w:after="0" w:line="1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Holders of ADSs may not receive distributions on our ordinary shares in the form of ADSs or any value for them if it is illegal or impractical to make them available to holders of ADSs.</w:t>
      </w:r>
    </w:p>
    <w:p>
      <w:pPr>
        <w:spacing w:after="0" w:line="170" w:lineRule="exact"/>
        <w:rPr>
          <w:sz w:val="20"/>
          <w:szCs w:val="20"/>
          <w:color w:val="auto"/>
        </w:rPr>
      </w:pPr>
    </w:p>
    <w:p>
      <w:pPr>
        <w:jc w:val="both"/>
        <w:ind w:firstLine="608"/>
        <w:spacing w:after="0" w:line="254" w:lineRule="auto"/>
        <w:rPr>
          <w:sz w:val="20"/>
          <w:szCs w:val="20"/>
          <w:color w:val="auto"/>
        </w:rPr>
      </w:pPr>
      <w:r>
        <w:rPr>
          <w:rFonts w:ascii="Arial" w:cs="Arial" w:eastAsia="Arial" w:hAnsi="Arial"/>
          <w:sz w:val="18"/>
          <w:szCs w:val="18"/>
          <w:color w:val="auto"/>
        </w:rPr>
        <w:t>The depositary for our ADSs has agreed to pay to holders of ADSs the cash dividends or other distributions it or the custodian receives on our ordinary shares or other deposited securities after deducting its fees and expenses. Holders of our ADSs will receive these distributions in proportion to the number of our ordinary shares their ADSs represent. However, in accordance with the limitations set forth in the deposit agreement, it may be unlawful or impractical to make a distribution available to holders of ADSs. We have no obligation to take any other action to permit the distribution of our ADSs, ordinary shares, rights or anything else to holders of our ADSs. This means that holders of ADSs may not receive the distributions we make on our ordinary shares or any value from them if it is unlawful or impractical to make them available to them. These restrictions may have a material adverse effect on the value of a holder’s ADSs.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70" w:lineRule="exact"/>
        <w:rPr>
          <w:sz w:val="20"/>
          <w:szCs w:val="20"/>
          <w:color w:val="auto"/>
        </w:rPr>
      </w:pPr>
    </w:p>
    <w:p>
      <w:pPr>
        <w:jc w:val="both"/>
        <w:ind w:firstLine="499"/>
        <w:spacing w:after="0" w:line="301" w:lineRule="auto"/>
        <w:rPr>
          <w:sz w:val="20"/>
          <w:szCs w:val="20"/>
          <w:color w:val="auto"/>
        </w:rPr>
      </w:pPr>
      <w:r>
        <w:rPr>
          <w:rFonts w:ascii="Arial" w:cs="Arial" w:eastAsia="Arial" w:hAnsi="Arial"/>
          <w:sz w:val="16"/>
          <w:szCs w:val="16"/>
          <w:color w:val="auto"/>
        </w:rPr>
        <w:t>The deposit agreement governing the ADSs representing our ordinary shares provides that, to the fullest extent permitted by applicable law, holders and beneficial owners of ADSs irrevocably waive the right to a jury trial of any claim that they may have against us or the depositary arising from or relating to our ordinary shares, our ADSs or the deposit agreement, including any claim under the U.S. federal securities laws. The waiver continues to apply to claims that arise during the period when a holder holds the ADSs, even if the ADS holder subsequently withdraws the underlying ordinary shares.</w:t>
      </w:r>
    </w:p>
    <w:p>
      <w:pPr>
        <w:spacing w:after="0" w:line="157" w:lineRule="exact"/>
        <w:rPr>
          <w:sz w:val="20"/>
          <w:szCs w:val="20"/>
          <w:color w:val="auto"/>
        </w:rPr>
      </w:pPr>
    </w:p>
    <w:p>
      <w:pPr>
        <w:jc w:val="both"/>
        <w:ind w:firstLine="525"/>
        <w:spacing w:after="0" w:line="257" w:lineRule="auto"/>
        <w:rPr>
          <w:sz w:val="20"/>
          <w:szCs w:val="20"/>
          <w:color w:val="auto"/>
        </w:rPr>
      </w:pPr>
      <w:r>
        <w:rPr>
          <w:rFonts w:ascii="Arial" w:cs="Arial" w:eastAsia="Arial" w:hAnsi="Arial"/>
          <w:sz w:val="18"/>
          <w:szCs w:val="18"/>
          <w:color w:val="auto"/>
        </w:rPr>
        <w:t>However,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 If we or the depositary opposed a demand for jury trial relying on above-mentioned jury trial waiver, it is up to the court to determine whether such waiver was enforceable considering the facts and circumstances of that case in accordance with the applicable state and federal law.</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jc w:val="both"/>
        <w:ind w:firstLine="474"/>
        <w:spacing w:after="0" w:line="268" w:lineRule="auto"/>
        <w:rPr>
          <w:sz w:val="20"/>
          <w:szCs w:val="20"/>
          <w:color w:val="auto"/>
        </w:rPr>
      </w:pPr>
      <w:r>
        <w:rPr>
          <w:rFonts w:ascii="Arial" w:cs="Arial" w:eastAsia="Arial" w:hAnsi="Arial"/>
          <w:sz w:val="17"/>
          <w:szCs w:val="17"/>
          <w:color w:val="auto"/>
        </w:rPr>
        <w:t>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or by the United States Supreme Court. Nonetheless, we believe that a jury trial waiver provision is generally enforceable under the laws of the State of New York, which govern the deposit agreement, by a federal or state court in the City of New York. In determining whether to enforce a jury trial waiver provision, New York courts will consider whether the visibility of the jury trial waiver provision within the agreement is sufficiently prominent such that a party has knowingly waived any right to trial by jury. We believe that this is the case with respect to the deposit agreement and the ADSs.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none of which we believe are applicable in the case of the deposit agreement or the ADSs. If you or any other holders or beneficial owners of ADSs bring a claim against us or the depositary relating to the matters arising under the deposit agreement or our ADSs, including claims under federal securities laws, you or such other holder or beneficial owner may not have the right to a jury trial regarding such claims, which may limit and discourage lawsuits against us or the depositary. If a lawsuit is brought against us or the depositary according to the deposit agreement, it may be heard only by a judge or justice of the applicable trial court, which would be conducted according to different civil procedures and may have different outcomes compared to that of a jury trial, including results that could be less favorable to the plaintiff(s) in any such action.</w:t>
      </w:r>
    </w:p>
    <w:p>
      <w:pPr>
        <w:spacing w:after="0" w:line="184" w:lineRule="exact"/>
        <w:rPr>
          <w:sz w:val="20"/>
          <w:szCs w:val="20"/>
          <w:color w:val="auto"/>
        </w:rPr>
      </w:pPr>
    </w:p>
    <w:p>
      <w:pPr>
        <w:jc w:val="both"/>
        <w:ind w:firstLine="548"/>
        <w:spacing w:after="0" w:line="255" w:lineRule="auto"/>
        <w:rPr>
          <w:sz w:val="20"/>
          <w:szCs w:val="20"/>
          <w:color w:val="auto"/>
        </w:rPr>
      </w:pPr>
      <w:r>
        <w:rPr>
          <w:rFonts w:ascii="Arial" w:cs="Arial" w:eastAsia="Arial" w:hAnsi="Arial"/>
          <w:sz w:val="18"/>
          <w:szCs w:val="18"/>
          <w:color w:val="auto"/>
        </w:rPr>
        <w:t>Moreover, as the jury trial waiver relates to claims arising out of or relating to the ADSs or the deposit agreement, we believe that, as a matter of construction of the clause, the waiver would likely continue to apply to ADS holders who withdraw the ordinary shares from the ADS facility with respect to claims arising before the cancellation of the ADSs and the withdrawal of the ordinary shares, and the waiver would most likely not apply to ADS holders who subsequently withdraw the ordinary shares represented by ADSs from the ADS facility with respect to claims arising after the withdrawal. However, to our knowledge, there has been no case law on the applicability of the jury trial waiver to ADS holders who withdraw the ordinary shares represented by the ADSs from the ADS facility.</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Holders of our ADSs or ordinary shares have limited choice of forum, which could limit your ability to obtain a favorable judicial forum for complaints against us, the depositary or our respective directors, officers or employees.</w:t>
      </w:r>
    </w:p>
    <w:p>
      <w:pPr>
        <w:spacing w:after="0" w:line="170" w:lineRule="exact"/>
        <w:rPr>
          <w:sz w:val="20"/>
          <w:szCs w:val="20"/>
          <w:color w:val="auto"/>
        </w:rPr>
      </w:pPr>
    </w:p>
    <w:p>
      <w:pPr>
        <w:jc w:val="both"/>
        <w:ind w:firstLine="478"/>
        <w:spacing w:after="0" w:line="257" w:lineRule="auto"/>
        <w:rPr>
          <w:sz w:val="20"/>
          <w:szCs w:val="20"/>
          <w:color w:val="auto"/>
        </w:rPr>
      </w:pPr>
      <w:r>
        <w:rPr>
          <w:rFonts w:ascii="Arial" w:cs="Arial" w:eastAsia="Arial" w:hAnsi="Arial"/>
          <w:sz w:val="18"/>
          <w:szCs w:val="18"/>
          <w:color w:val="auto"/>
        </w:rPr>
        <w:t>The deposit agreement governing our ADSs provides that, (i) the deposit agreement and the ADSs will be interpreted in accordance with the laws of the State of New York, and (ii) as an owner of ADSs, you irrevocably agree that any legal action arising out of the deposit agreement and the ADSs involving us, or the depositary may only be instituted in a state or federal court in the city of New York. Any person or entity purchasing or otherwise acquiring any our ADSs, whether by transfer, sale, operation of law or otherwise, shall be deemed to have notice of and have irrevocably agreed and consented to these provisions.</w:t>
      </w:r>
    </w:p>
    <w:p>
      <w:pPr>
        <w:spacing w:after="0" w:line="188" w:lineRule="exact"/>
        <w:rPr>
          <w:sz w:val="20"/>
          <w:szCs w:val="20"/>
          <w:color w:val="auto"/>
        </w:rPr>
      </w:pPr>
    </w:p>
    <w:p>
      <w:pPr>
        <w:jc w:val="both"/>
        <w:ind w:firstLine="487"/>
        <w:spacing w:after="0" w:line="257" w:lineRule="auto"/>
        <w:rPr>
          <w:sz w:val="20"/>
          <w:szCs w:val="20"/>
          <w:color w:val="auto"/>
        </w:rPr>
      </w:pPr>
      <w:r>
        <w:rPr>
          <w:rFonts w:ascii="Arial" w:cs="Arial" w:eastAsia="Arial" w:hAnsi="Arial"/>
          <w:sz w:val="18"/>
          <w:szCs w:val="18"/>
          <w:color w:val="auto"/>
        </w:rPr>
        <w:t>This choice of forum provision may increase your cost and limit your ability to bring a claim in a judicial forum that you find favorable for disputes with us, the depositary or our and the depositary’s respective directors, officers or employees, which may discourage such lawsuits against us, the depositary and our and the depositary’s respective directors, officers or employees. However, it is possible that a court could find either choice of forum provision to be inapplicable or unenforceable. The enforceability of similar choice of forum provisions has been challenged in legal proceedings. It is possible that a court could find this type of provisions to be inapplicable or unenforceable.</w:t>
      </w:r>
    </w:p>
    <w:p>
      <w:pPr>
        <w:spacing w:after="0" w:line="18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Accordingly, actions by holders of our ADSs or ordinary shares to enforce any duty or liability created by the Exchange Act, the Securities Act or the respective rules and regulations thereunder must be brought in a federal court in the city of New York. Holders of our ADSs or ordinary shares will not be deemed to have waived our compliance with the federal securities laws and the regulations promulgated thereunder.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Holders of ADSs may be subject to limitations on transfer of their ADSs.</w:t>
      </w:r>
    </w:p>
    <w:p>
      <w:pPr>
        <w:spacing w:after="0" w:line="225" w:lineRule="exact"/>
        <w:rPr>
          <w:sz w:val="20"/>
          <w:szCs w:val="20"/>
          <w:color w:val="auto"/>
        </w:rPr>
      </w:pPr>
    </w:p>
    <w:p>
      <w:pPr>
        <w:jc w:val="both"/>
        <w:ind w:firstLine="491"/>
        <w:spacing w:after="0" w:line="257" w:lineRule="auto"/>
        <w:rPr>
          <w:sz w:val="20"/>
          <w:szCs w:val="20"/>
          <w:color w:val="auto"/>
        </w:rPr>
      </w:pPr>
      <w:r>
        <w:rPr>
          <w:rFonts w:ascii="Arial" w:cs="Arial" w:eastAsia="Arial" w:hAnsi="Arial"/>
          <w:sz w:val="18"/>
          <w:szCs w:val="18"/>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in accordance with the terms of the deposit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to foreign currency exchange rate fluctuations could negatively impact our results of operations.</w:t>
      </w:r>
    </w:p>
    <w:p>
      <w:pPr>
        <w:spacing w:after="0" w:line="225" w:lineRule="exact"/>
        <w:rPr>
          <w:sz w:val="20"/>
          <w:szCs w:val="20"/>
          <w:color w:val="auto"/>
        </w:rPr>
      </w:pPr>
    </w:p>
    <w:p>
      <w:pPr>
        <w:jc w:val="both"/>
        <w:ind w:firstLine="615"/>
        <w:spacing w:after="0" w:line="272" w:lineRule="auto"/>
        <w:rPr>
          <w:sz w:val="20"/>
          <w:szCs w:val="20"/>
          <w:color w:val="auto"/>
        </w:rPr>
      </w:pPr>
      <w:r>
        <w:rPr>
          <w:rFonts w:ascii="Arial" w:cs="Arial" w:eastAsia="Arial" w:hAnsi="Arial"/>
          <w:sz w:val="17"/>
          <w:szCs w:val="17"/>
          <w:color w:val="auto"/>
        </w:rPr>
        <w:t>While the majority of the transactions through our platform are denominated in U.S. dollars, we have transacted in foreign currencies, both for inventory and for payments by advertisers or publishers from use of our platform. We also have expenses denominated in currencies other than the U.S. dollar. Given our anticipated international growth, we expect the number of transactions in a variety of foreign currencies to continue to grow in the future. While we generally require a fee from advertisers or publishers that pay in non-U.S. currency, this fee may not always cover foreign currency exchange rate fluctuations. Although we currently have a program to hedge exposure to foreign currency fluctuations, the use of hedging instruments may not be available for all currencies or may not always offset losses resulting from foreign currency exchange rate fluctuations. Moreover, the use of hedging instruments can itself result in losses if we are unable to structure effective hedges with such instruments.</w:t>
      </w:r>
    </w:p>
    <w:p>
      <w:pPr>
        <w:spacing w:after="0" w:line="1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 small number of significant beneficial owners of our shares acting together have significant influence over matters requiring shareholder approval, which could delay or prevent a change of control.</w:t>
      </w:r>
    </w:p>
    <w:p>
      <w:pPr>
        <w:spacing w:after="0" w:line="170" w:lineRule="exact"/>
        <w:rPr>
          <w:sz w:val="20"/>
          <w:szCs w:val="20"/>
          <w:color w:val="auto"/>
        </w:rPr>
      </w:pPr>
    </w:p>
    <w:p>
      <w:pPr>
        <w:jc w:val="both"/>
        <w:ind w:firstLine="487"/>
        <w:spacing w:after="0" w:line="257" w:lineRule="auto"/>
        <w:rPr>
          <w:sz w:val="20"/>
          <w:szCs w:val="20"/>
          <w:color w:val="auto"/>
        </w:rPr>
      </w:pPr>
      <w:r>
        <w:rPr>
          <w:rFonts w:ascii="Arial" w:cs="Arial" w:eastAsia="Arial" w:hAnsi="Arial"/>
          <w:sz w:val="18"/>
          <w:szCs w:val="18"/>
          <w:color w:val="auto"/>
        </w:rPr>
        <w:t>The four largest beneficial owners of our ordinary shares, entities and individuals affiliated with Mithaq Capital SPC, Toscafund Asset Management LLP, Schroder Investment Management and News Corporation, each of which beneficially owns more than 5% of our outstanding ordinary shares as of March 4, 2022, and in the aggregate 50.9% of our ordinary shares. As a result, these shareholders, acting together, could exercise significant influence over our operations and business strategy and will have sufficient voting power to influence the outcome of matters requiring shareholder approval. These matters may include:</w:t>
      </w:r>
    </w:p>
    <w:p>
      <w:pPr>
        <w:spacing w:after="0" w:line="188" w:lineRule="exact"/>
        <w:rPr>
          <w:sz w:val="20"/>
          <w:szCs w:val="20"/>
          <w:color w:val="auto"/>
        </w:rPr>
      </w:pPr>
    </w:p>
    <w:p>
      <w:pPr>
        <w:ind w:left="1620" w:hanging="343"/>
        <w:spacing w:after="0"/>
        <w:tabs>
          <w:tab w:leader="none" w:pos="1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composition of our board of directors which has the authority to direct our business and to appoint and remove our officers;</w:t>
      </w:r>
    </w:p>
    <w:p>
      <w:pPr>
        <w:spacing w:after="0" w:line="236" w:lineRule="exact"/>
        <w:rPr>
          <w:rFonts w:ascii="Arial" w:cs="Arial" w:eastAsia="Arial" w:hAnsi="Arial"/>
          <w:sz w:val="17"/>
          <w:szCs w:val="17"/>
          <w:color w:val="auto"/>
        </w:rPr>
      </w:pPr>
    </w:p>
    <w:p>
      <w:pPr>
        <w:ind w:left="1620" w:hanging="343"/>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approving or rejecting a merger, consolidation or other business combination;</w:t>
      </w:r>
    </w:p>
    <w:p>
      <w:pPr>
        <w:spacing w:after="0" w:line="225" w:lineRule="exact"/>
        <w:rPr>
          <w:rFonts w:ascii="Arial" w:cs="Arial" w:eastAsia="Arial" w:hAnsi="Arial"/>
          <w:sz w:val="18"/>
          <w:szCs w:val="18"/>
          <w:color w:val="auto"/>
        </w:rPr>
      </w:pPr>
    </w:p>
    <w:p>
      <w:pPr>
        <w:ind w:left="1620" w:hanging="343"/>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raising future capital; and</w:t>
      </w:r>
    </w:p>
    <w:p>
      <w:pPr>
        <w:spacing w:after="0" w:line="225" w:lineRule="exact"/>
        <w:rPr>
          <w:rFonts w:ascii="Arial" w:cs="Arial" w:eastAsia="Arial" w:hAnsi="Arial"/>
          <w:sz w:val="18"/>
          <w:szCs w:val="18"/>
          <w:color w:val="auto"/>
        </w:rPr>
      </w:pPr>
    </w:p>
    <w:p>
      <w:pPr>
        <w:ind w:left="1620" w:hanging="343"/>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amending our articles of association which govern the rights attached to our ordinary shares.</w:t>
      </w:r>
    </w:p>
    <w:p>
      <w:pPr>
        <w:spacing w:after="0" w:line="225" w:lineRule="exact"/>
        <w:rPr>
          <w:sz w:val="20"/>
          <w:szCs w:val="20"/>
          <w:color w:val="auto"/>
        </w:rPr>
      </w:pPr>
    </w:p>
    <w:p>
      <w:pPr>
        <w:jc w:val="both"/>
        <w:ind w:firstLine="463"/>
        <w:spacing w:after="0" w:line="263" w:lineRule="auto"/>
        <w:rPr>
          <w:sz w:val="20"/>
          <w:szCs w:val="20"/>
          <w:color w:val="auto"/>
        </w:rPr>
      </w:pPr>
      <w:r>
        <w:rPr>
          <w:rFonts w:ascii="Arial" w:cs="Arial" w:eastAsia="Arial" w:hAnsi="Arial"/>
          <w:sz w:val="18"/>
          <w:szCs w:val="18"/>
          <w:color w:val="auto"/>
        </w:rPr>
        <w:t>This concentration of ownership of our ADSs or ordinary shares could delay or prevent proxy contests, mergers, tender offers, open-market purchase programs or other purchases of our ADSs or ordinary shares that might otherwise give you the opportunity to realize a premium over the then-prevailing market price of our ADSs. This concentration of ownership may also adversely affect our share price.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INFORMATION ON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4.A. HISTORY AND DEVELOPMENT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Information</w:t>
      </w:r>
    </w:p>
    <w:p>
      <w:pPr>
        <w:spacing w:after="0" w:line="22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We were incorporated as Marimedia Ltd. in 2007 in Israel under the Companies Law. We changed our name to Taptica International Ltd. in September 2015 and then to Tremor International Ltd. in June 2019. Our principal executive offices are located at 82 Yigal Alon Street, Tel Aviv, 6789124, Israel. Our website address is www.tremorinternational.com, and our telephone number is +972-3-545-3900. Information contained on, or that can be accessed through, our website does not constitute a part of this Annual Report and is not incorporated by reference herein. We have included our website address in this Annual Report solely for informational purposes.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jc w:val="both"/>
        <w:ind w:firstLine="441"/>
        <w:spacing w:after="0" w:line="277" w:lineRule="auto"/>
        <w:rPr>
          <w:sz w:val="20"/>
          <w:szCs w:val="20"/>
          <w:color w:val="auto"/>
        </w:rPr>
      </w:pPr>
      <w:r>
        <w:rPr>
          <w:rFonts w:ascii="Arial" w:cs="Arial" w:eastAsia="Arial" w:hAnsi="Arial"/>
          <w:sz w:val="18"/>
          <w:szCs w:val="18"/>
          <w:color w:val="auto"/>
        </w:rPr>
        <w:t>The effective date of the registration statement (Commission File Number 333-256452) for our IPO of our ADSs on the Nasdaq Global Select Market was June 17, 2021. The offering commenced on June 17, 2021 and was closed on July 15, 2021.</w:t>
      </w:r>
    </w:p>
    <w:p>
      <w:pPr>
        <w:spacing w:after="0" w:line="170"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Our SEC filings are available to you on the SEC’s website at http://www.sec.gov.com, which contains reports, proxy and information statements, and other information regarding issuers that file electronically with the SEC. The information on that website is not part of this Annual Report and is not incorporated by reference herein. Our agent for service of process in the United States is Tremor Video, Inc., located at 1177 6th Ave 9th floor, New York, NY 10036, telephone number (646) 787-0804.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4.B. BUSINESS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mission is to bring together an end-to-end platform to enable powerful partnerships and deliver results across the advertising ecosystem.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Tremor International is a collection of brands uniting creativity, data and technology across the open internet. Our end-to-end, video-first platform facilitates and optimizes engaging advertising campaigns for brands, media groups and content creators worldwide — enabling powerful partnerships and delivering meaningful results. A leader in Connected TV and video, Tremor International’s footprint is expanding across the industry’s fastest-growing segments, driven by a global team of seasoned technologists and digital natives.</w:t>
      </w:r>
    </w:p>
    <w:p>
      <w:pPr>
        <w:spacing w:after="0" w:line="187"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We believe there is a significant market opportunity within the approximately $492 billion global digital advertising market that is expected to grow at a CAGR of 12% through 2025, according to eMarketer. Publishers rely on advertising to support their businesses and brands, and advertisers use digital mediums to capture uniquely targeted and viewable impressions. We believe the digital advertising market remains fragmented and that our full service end-to-end platform and vast expertise within Video and CTV puts us in a strong position to continue to increase our market share from traditional ad sales channels.</w:t>
      </w:r>
    </w:p>
    <w:p>
      <w:pPr>
        <w:spacing w:after="0" w:line="188"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We believe that we are positioned to benefit from several trends in the evolving advertising ecosystem, including the proliferation of digital media consumption, adoption of programmatic advertising, a growing focus on premium formats such as Video and CTV, and the increasing sophistication of the overall digital landscape. We address the broad and evolving digital advertising market through our three core offerings, including a proprietary DSP solution that advertisers leverage to manage digital advertising campaigns, a proprietary SSP solution that publishers leverage to optimally monetize digital inventory and a proprietary DMP solution which is integrated with both our DSP and SSP solutions. Our versatile DMP solution benefits from vast amounts of data and provides optimal campaign recommendations for audience sets by employing advanced machine learning algorithms. The contextualization of the data synthesized by our DMP solution provides our advertisers with a comprehensive, personalized view of audiences, enabling more effective targeting across formats and devices and optimizes the monetization of publisher inventory. By combining these three proprietary solutions as well as integrations with industry leading partners, we provide an end-to-end platform that is dynamic and flexible to our customers’ needs, which enables us to address more digital ad spend.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jc w:val="both"/>
        <w:ind w:firstLine="441"/>
        <w:spacing w:after="0" w:line="259" w:lineRule="auto"/>
        <w:rPr>
          <w:sz w:val="20"/>
          <w:szCs w:val="20"/>
          <w:color w:val="auto"/>
        </w:rPr>
      </w:pPr>
      <w:r>
        <w:rPr>
          <w:rFonts w:ascii="Arial" w:cs="Arial" w:eastAsia="Arial" w:hAnsi="Arial"/>
          <w:sz w:val="18"/>
          <w:szCs w:val="18"/>
          <w:color w:val="auto"/>
        </w:rPr>
        <w:t>Our customers are both ad buyers, including brands and agencies, and digital publishers. Our platform included a diversified customer base of approximately 800 active customers and 1,600 active publishers as of December 31, 2021, with approximately 2 billion unique users for the month ended December 31, 2021, which serves advertisements in 140 countries. We generate revenue through platform fees that are tailored to fit the customer’s specific utilization of our solutions and include (i) a percentage of spend, (ii) flat fees and (iii) fixed CPM.</w:t>
      </w:r>
    </w:p>
    <w:p>
      <w:pPr>
        <w:spacing w:after="0" w:line="187"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color w:val="auto"/>
        </w:rPr>
        <w:t>The advertising industry was significantly impacted at the end of first quarter and throughout the second quarter of 2020 and into 2021 by the outbreak of the COVID-19 pandemic and the resulting economic uncertainty in the global economy, including in the United States (where the majority of our revenue is generated). The impacts of the COVID-19 pandemic continued into 2021. As a result, advertising demand on our platform decreased significantly in the first half of 2020, as economic activity across most markets contracted and marketing budgets were reduced. However, as parts of the economy reopened at the end of the second quarter of 2020, much of the advertising industry and related spend responded with a strong recovery in the second half of 2020 into 2021. Although certain industries, such as travel, retail, hospitality and verticals impacted by supply chain constraints, continued to limit advertising spending over this period and into 2021, other industries drove significant growth in advertising spending, particularly in Video and CTV.</w:t>
      </w:r>
    </w:p>
    <w:p>
      <w:pPr>
        <w:spacing w:after="0" w:line="166"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As a result, our Video revenue and CTV revenue grew from $143.4 million and $36.8 million, respectively, in the twelve months ended December 31, 2020 to $242.7 million and $80.3 million, respectively, in the twelve months ended December 31, 2021. This growth of Video and CTV contributed to growth in Programmatic revenue of 65% for the year ended December 31, 2021, from the year ended December 31, 2020.</w:t>
      </w:r>
    </w:p>
    <w:p>
      <w:pPr>
        <w:spacing w:after="0" w:line="165"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6"/>
          <w:szCs w:val="16"/>
          <w:color w:val="auto"/>
        </w:rPr>
        <w:t>Our total comprehensive income for the twelve months ended December 31, 2021, increased $65.6 million from the equivalent figure for the twelve months ended December 31, 2020 and represented a 1319% year-over-year increase as compared to our total comprehensive income for the twelve months ended December 31, 2020. We generated $70.6 million and $5.0 million in total comprehensive income in the years ended December 31, 2021 and 2020, respectively. Our Adjusted EBITDA for the twelve months ended December 31, 2021 increased approximately 3 times from the equivalent figure for the twelve months ended December 31, 2020 and represented a 166% year-over-year increase. Additionally, we generated $161.2 million and $60.5 million in Adjusted EBITDA in the years ended December 31, 2021 and 2020, respectively, resulting in a cash position of $367.7 million as of December 31, 2021.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jc w:val="both"/>
        <w:ind w:firstLine="441"/>
        <w:spacing w:after="0" w:line="342" w:lineRule="auto"/>
        <w:rPr>
          <w:sz w:val="20"/>
          <w:szCs w:val="20"/>
          <w:color w:val="auto"/>
        </w:rPr>
      </w:pPr>
      <w:r>
        <w:rPr>
          <w:rFonts w:ascii="Arial" w:cs="Arial" w:eastAsia="Arial" w:hAnsi="Arial"/>
          <w:sz w:val="16"/>
          <w:szCs w:val="16"/>
          <w:color w:val="auto"/>
        </w:rPr>
        <w:t>We operate in the digital advertising industry, which is a core pillar of monetizing digital properties accessible by the Internet. We specialize in digital video advertising, which collectively comprises 71% of our revenue for the year ended December 31, 2021, across mobile video, desktop video and CTV.</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the key industry trends shaping the digital advertising market include: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Continued Growth of Digital Media Consumption</w:t>
      </w:r>
    </w:p>
    <w:p>
      <w:pPr>
        <w:spacing w:after="0" w:line="225"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Audiences continue to spend an increasing amount of time online for social, business and purchasing needs. We believe that the COVID-19 pandemic and the subsequent work-from-home and shelter-in-place orders accelerated the adoption of numerous traditionally offline activities to be conducted online, including telehealth, fitness classes, food delivery and e-commerce. As consumers continue to spend more time online for everyday activities, we believe that brands and advertisers will increasingly allocate ad budgets to where the audiences are. According to eMarketer, in the US, more than a third of the day is expected to be spent on digital media consumption by 2022. This mass of digital consumption is happening across all devices, including mobile, desktop, tablet and CTV. These trends will further increase both the supply and demand of available ad impressions that can be monetized programmatically.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Shift to Programmatic Advertising</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Programmatic advertising is the use of software and algorithms to match buyers and sellers of digital advertising in a technology-driven marketplace. The transactions are executed in milliseconds and do not require the manual labor of execution. It is becoming increasingly prominent in the digital advertising industry, as publishers and advertisers prefer that their bids/asks for digital ad inventory be completed in an easy, efficient, and automated manner. Additional advantages of programmatic advertising include enhanced audience targeting, attribution, measurement as well as improved customized campaign management workflow solutions. According to eMarketer, programmatic advertising is expected to increase from $106 billion in 2019 to $147 billion by 2021, at a CAGR of 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Driven Decision Making</w:t>
      </w:r>
    </w:p>
    <w:p>
      <w:pPr>
        <w:spacing w:after="0" w:line="22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As the digital media industry grows, increased consumer engagement by audiences has created vast amounts of data and behavioral insights that can be harnessed to maximize ROI for advertisers and optimize the monetization of digital inventory for publishers. These insights include industry compliant anonymized data sets relating to consumer interests, preferences and intent, as well as auction data of advertising bid requests. Technology solutions must efficiently and effectively digest, analyze and process an ever-increasing amount of data seamlessly while navigating the increased requirements of regulatory challenges and audience protection.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Privacy and Regulatory Concerns</w:t>
      </w:r>
    </w:p>
    <w:p>
      <w:pPr>
        <w:spacing w:after="0" w:line="225"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color w:val="auto"/>
        </w:rPr>
        <w:t>Over the last few years, there has been increased scrutiny concerning consumer data and the ways in which that data is being used in connection with ad targeting. Globally and locally, new legislation has been introduced and enforced that requires new industry rules and standards. Some of these regulations include the GDPR, the California CCPA and the forthcoming CPRA, and IDFA. Additionally, web browsers such as Safari and Firefox have also removed third-party cookies. These rules and regulations require all constituents within digital advertising to consistently adapt and evolve.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In the advertising industry, companies commonly experience seasonal fluctuations in revenue. For example, many marketers allocate the largest portion of their budgets to the fourth quarter of the calendar year in order to coincide with increased holiday purchasing. Historically, the fourth quarter of the year has reflected our highest level of advertising activity for the year. We generally expect the subsequent first quarter to reflect lower activity levels. In addition, historical seasonality may not be predictive of future results given the potential for changes in advertising buying patterns and consumer activity due to the COVID-19 pandemic. For example, in 2020, advertising activities were less associated with the holiday spending patterns. Instead, as business activities adapt into the new environment amid the COVID-19 pandemic, in the second half of 2020, we saw a significant resurgence in advertising demand on our platform. Nevertheless, as countries recover from the COVID-19 pandemic and return to pre-pandemic business conditions, we expect our revenue to continue to fluctuate based on seasonal factors that affect the advertising industry as a whole.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Our Market Opportunity</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We believe that we are well positioned to capture the fastest growing and next wave of digital advertising, such as Video, including CTV, which reflects 71% of our revenue for the year ended December 31, 2021.</w:t>
      </w:r>
    </w:p>
    <w:p>
      <w:pPr>
        <w:spacing w:after="0" w:line="170"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6"/>
          <w:szCs w:val="16"/>
          <w:color w:val="auto"/>
        </w:rPr>
        <w:t>Global digital advertising spend is forecast to be $492 billion for 2021 and is expected to grow 12% per year to $785 billion by 2025. As advertisers follow audiences to next-generation mediums, digital advertising channels are expected to outpace growth of total global media ad spend. The increased Internet bandwidth in developing countries is acting as an additional tailwind, and the increasing proliferation of next-generation cellular technology in developed countries is driving video viewership. We believe these trends will amplify full-screen video usage, which has long been the preferred choice of advertisers. We expect these long-term, systemic shifts will enable us to grow at a faster rate compared to the broader digital advertising market.</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Digital Video and CTV Advertising</w:t>
      </w:r>
    </w:p>
    <w:p>
      <w:pPr>
        <w:spacing w:after="0" w:line="22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We are addressing the fastest growing areas within digital advertising, Video and CTV, which are expected to grow at an accelerated rate compared to other formats. In the United States, where the majority of our revenue is generated, the growth rates and adoption of Video and CTV are expected to be even higher According to eMarketer, U.S. CTV ad spend is projected to grow at a CAGR of 24.3% from 2021 to 2025, reaching $34.5 billion. U.S. Video ad spend is projected to grow at a CAGR of 15.0% from 2021 to 2025, reaching $105.6 billion. Additionally, the number of digital video viewers worldwide is expected to reach 3.56 billion people by 2024.</w:t>
      </w:r>
    </w:p>
    <w:p>
      <w:pPr>
        <w:spacing w:after="0" w:line="188"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Linear TV budgets are also shifting towards digital video and CTV, further driving demand for these premium ad formats. These overarching market trends underpin our strategic shift to focus on these segments of digital advertising, which given the proliferation of smart TVs and the increasing number of streaming providers, will remain an exciting growth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Advertising</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 number of consumers with smart phones and high-speed internet quality are expected to continue rising, which will make mobile advertising a prominent channel within digital. According to eMarketer, U.S. mobile ad spend is projected to grow at a CAGR of 12.4% from 2021 to 2025, reaching $208 billion.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Role in the Digital Advertising Ecosystem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Advertisers and Agencies</w:t>
      </w:r>
    </w:p>
    <w:p>
      <w:pPr>
        <w:spacing w:after="0" w:line="22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Spending begins with advertisers, who often engage advertising agencies to help plan and execute their advertising campaigns. To better control and optimize their advertising operations, advertisers and agencies are consolidating spend with fewer, larger technology platform providers who can deliver transparency and ensure the highest level of inventory quality and control. These advertisers and agencies access our platform through Tremor Video and third-party DSPs. We believe our end-to-end technology platform and direct relationships with advertisers and agencies will lead to significant consolidation of spend onto our platform.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Side Platforms (“DSP”)</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Advertisers and agencies often engage DSPs, which serve as advertising demand aggregators, to execute their digital marketing campaigns across various ad formats. We offer both full-service and self-managed options through our DSP, enabling highly customized and robust campaigns. We are also integrated with the leading DSPs globally, such as The Trade Desk and Google DV360, enabling customers to execute real-time transactions with our publisher clients.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Supply Side Platforms (“SSP”)</w:t>
      </w:r>
    </w:p>
    <w:p>
      <w:pPr>
        <w:spacing w:after="0" w:line="225"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6"/>
          <w:szCs w:val="16"/>
          <w:color w:val="auto"/>
        </w:rPr>
        <w:t>SSPs such as ours are designed to monetize digital inventory for publishers and app developers by enabling their content to have the necessary software code and requirements for programmatic integration. Buyers and sellers come together through our marketplace to monetize, target, and purchase available digital advertising inventory. Our platform rapidly and efficiently processes significant volumes of advertising bid information, providing a seamless digital experience for our customers. Traditionally, SSPs have focused exclusively on the needs of sellers in this process and have limited their interactions with buyers to the buyer’s agent, the DSP. As buyers have sought greater control of their advertising supply chains, we have extended the capabilities of our specialized platform over the last several years to serve the needs of advertisers and agencies.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Publishers and Content Providers</w:t>
      </w:r>
    </w:p>
    <w:p>
      <w:pPr>
        <w:spacing w:after="0" w:line="225"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Digital publishers and app developers create websites, digital content and applications that contain content/mediums for consumption for users, along with adjacent viewable space for digital advertisements. As consumers navigate these websites and apps, individual ad impressions are presented to them across different formats/channels. These impressions are typically sold to advertisers and agencies programmatically, in real-time via a third-party technology infrastructure platform or SSP solution. Publishers and app developers rely on advertising revenue as the key driver for their businesses and depend on the capabilities of these third parties in order to achieve optimal yield for their advertising inventory. As of December 31, 2021, we served approximately 1,600 active publishers worldwide on our platform, consisting of 163,232 active sites and apps that we have direct access to publish an ad for our customers.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the following attributes and capabilities provide us with long-term competitive advantages: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Established Expertise in Video and CTV</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believe Video, including CTV and mobile video are the fastest growing segments of digital advertising, and they constitute 71% of our total revenue for the year ended December 31, 2021 and 91% of our revenue without performance activity for the year ended December 31, 2021. We were one of the first movers in the digital video advertising and CTV markets, giving us early traction and recognition as a leader in the space. Our platform was intentionally built as an end-to-end video campaign delivery solution.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End-to-End Platform with Proprietary Technology</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leverage our advanced technology stack to enable advertisers and publishers to maximize their ROI, while optimizing the path between audiences and brands by leveraging our proprietary data sets. We believe we have a competitive advantage by overseeing the entire ecosystem through our proprietary data, unique demand and supply sources and access to premium vendors. As a technology first solution, we have the flexibility of an agnostic platform capable of integrating with different third-party sources to service our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Scale and Reach on the Audience, Advertiser and Publisher</w:t>
      </w:r>
    </w:p>
    <w:p>
      <w:pPr>
        <w:spacing w:after="0" w:line="22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Our platform currently accommodates over 100 billion daily ad requests, approximately 500 terabytes of daily data, approximately 250 million daily ad impressions and more than 100 million daily unique sites or apps. This gives us scale with publishers and provides access to direct and exclusive supply of premium advertising inventory, which allows for our advertising customers to avoid intermediaries and reduce costs. Operating an end-to-end platform enables us to minimize the loss of scale typically seen when two independent platforms are user-syncing with each other. This helps us maintain high scalability on buying strategies leveraging audience targeting.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Robust Data Set Fully Integrated into and Generated by Our Platform</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Our proprietary DMP is a flexible platform that can be easily integrated across various campaigns and formats. Our DMP leverages first-party data and third-party partnerships to identify and reach curated audiences, benefiting both our advertising and publisher customers. Our platform provides artificial intelligence in the form of machine learning algorithms and statistical models to aggregate and analyze vast amounts of data and contextualizes it into easily usable action items, which can be used across campaigns in real-time.</w:t>
      </w:r>
    </w:p>
    <w:p>
      <w:pPr>
        <w:spacing w:after="0" w:line="187"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Our machine learning algorithms enable us to process millions of requests per second which supports several of the optimization and prediction models in our platform including invalid traffic monitoring, viewability, queries per second, bidding and pricing models. These machine learning capabilities help our customers achieve their key performance indicators, optimize cost of media and protect against invalid traffic. Additionally, our DMP utilizes machine learning algorithms to build and expand segments in real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Team of Industry Veterans with Extensive Expertise</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Our senior management has an extensive background in the advertising technology industry, which we believe gives us a competitive advantage. We have vast experience in acquiring synergistic businesses and a strong track record of integrating successful acquisitions, further driving growth and profitability.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Profitable Business Model</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We have been Adjusted EBITDA and total comprehensive income profitable since 2014 and continue to improve our cost structure. As of the year ended December 31, 2021, our net profit margin was 21% and our Adjusted EBITDA margin was 47%. Our structural cost advantages enable us to continuously invest in driving innovation, while delivering both top line revenue growth and profitability.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We believe that programmatic advertising is still an underpenetrated market that will experience robust growth over the next decade as ad budgets continue to shift to digital and digital continues to shift towards programmatic execution. We intend to capitalize on these secular trends by pursuing growth opportunities that include: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Focus on Core Areas of Growth in Video and CTV</w:t>
      </w:r>
    </w:p>
    <w:p>
      <w:pPr>
        <w:spacing w:after="0" w:line="22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CTV is the fastest growth format within digital advertising, and this trend is expected to continue over the next several years according to eMarketer. In the United States, CTV ad spend is expected to grow at a CAGR of 24.3% from 2021 to 2025, and Video is expected to grow at a CAGR of 15.0%, reaching $105.6 billion by 2025. Digital video and CTV comprise 91% of our revenue without performance activity for the year ended December 31, 2021, and has been a core focus for us since inception. We plan to leverage our existing expertise in Video and CTV to increase our market share and introduce new technologies and solutions.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Introduce New Products and Invest in our Technology Stack</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As we grow our market share and add new customers, we continue to invest in our technology stack and develop new innovative products. We are continuously trying to introduce new innovative solutions and products to the rapidly evolving digital advertising market. Some potential areas of growth and investment include enhancing our proprietary data sets, enhancing our CTV solution capabilities and marketplace, audience targeting, expanding our alternative identifier solutions and enhancing our global platform coverage capabilities.</w:t>
      </w:r>
    </w:p>
    <w:p>
      <w:pPr>
        <w:spacing w:after="0" w:line="187"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We are providing customers with creative alternatives to plan and execute their campaigns giving them complimentary scale and opportunities to enhance current audience targeting strategies. For example, we offer, and will continue to enhance, contextual targeting solutions from content data collected via our publisher partnerships as well as third-party solutions integrated into our ecosystem.</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jc w:val="both"/>
        <w:ind w:firstLine="441"/>
        <w:spacing w:after="0" w:line="279" w:lineRule="auto"/>
        <w:rPr>
          <w:sz w:val="20"/>
          <w:szCs w:val="20"/>
          <w:color w:val="auto"/>
        </w:rPr>
      </w:pPr>
      <w:r>
        <w:rPr>
          <w:rFonts w:ascii="Arial" w:cs="Arial" w:eastAsia="Arial" w:hAnsi="Arial"/>
          <w:sz w:val="17"/>
          <w:szCs w:val="17"/>
          <w:color w:val="auto"/>
        </w:rPr>
        <w:t>There is market movement away from cookie-based tracking which has created an increase in demand for alternate solutions. We have partnerships, and are integrating, with major alternative identifier solutions such as IdentityLink and Unified ID 2.0. We are committed to helping define and support new privacy requirements and identifier mechanisms as the industry standards evolve. We believe that not everyone in the industry will adopt a single solution alternative to cookie-based tracking and we are building our platform to support various identifier solutions.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Strengthen Our Relationship with Existing Customers</w:t>
      </w:r>
    </w:p>
    <w:p>
      <w:pPr>
        <w:spacing w:after="0" w:line="225"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We are constantly improving functionality on our platform to attract new customers and encourage our existing customer base to allocate more of their ad spend and ad inventory to our platform. We believe as programmatic gains more widespread adoption and brands and publishers continue to focus on Video and CTV, we are strongly positioned to increase our customer base and generate additional revenue from existing customers.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Our International Footprint and United States Market Share</w:t>
      </w:r>
    </w:p>
    <w:p>
      <w:pPr>
        <w:spacing w:after="0" w:line="22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We continue to acquire new publishers and advertisers globally and invest in expanding our global footprint, providing significant global demand and supply of digital ad impressions across all channels and formats. We will continue to invest in third-party integrations, maintaining and enhancing our platform’s flexibility. We are leveraging our existing technology stack to provide innovative solutions to new and existing customers regardless of location or platform. We consistently innovate and develop new tools and products that enable our customers to maximize their benefit from using our platform and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 to Bolster our Data Capabilities</w:t>
      </w:r>
    </w:p>
    <w:p>
      <w:pPr>
        <w:spacing w:after="0" w:line="22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We leverage real-time data, artificial intelligence and machine learning capabilities to synthesize, aggregate and contextualize vast amounts of data sets to help our advertisers and publishers optimize their digital ad spend/inventory. Our DMP solution was architected to be flexible, which allows us to deliver impactful and unique insights that are agnostic to format or device type. By owning our own proprietary DMP solution, we are able to provide robust analytics, insights, and better segmentation on a global basis. We believe this gives us a large competitive advantage and enables higher ROI to our advertisers and optimal yield on digital inventory to our publishers.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 our Industry Expertise and Target Select Acquisitions</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We have been successful in past acquisitions and may direct our industry experience and focus to identify future complementary acquisitions to further broaden our scale and technology solutions. To the extent we identify attractive acquisition opportunities, we have the experience, leadership and track record to successfully execute strategic transactions and integrate acquired businesses into our platform.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 and End-to-End Technology Platform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25"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color w:val="auto"/>
        </w:rPr>
        <w:t>Our end-to-end platform is a comprehensive software suite that supports a wide range of media types (e.g., Video, display, etc.) and devices (e.g., mobile, CTVs, streaming devices, desktop, etc.), creating an efficient marketplace where advertisers are able to purchase high quality advertising inventory from publishers at scale. Our solutions offer many advantages, including an advanced real-time bidding auction optimization engine, a quality and global marketplace, and flexibility to enact concurrent campaign strategies that drives strong returns for investments in digital ad real estate.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jc w:val="both"/>
        <w:ind w:firstLine="441"/>
        <w:spacing w:after="0" w:line="311" w:lineRule="auto"/>
        <w:rPr>
          <w:sz w:val="20"/>
          <w:szCs w:val="20"/>
          <w:color w:val="auto"/>
        </w:rPr>
      </w:pPr>
      <w:r>
        <w:rPr>
          <w:rFonts w:ascii="Arial" w:cs="Arial" w:eastAsia="Arial" w:hAnsi="Arial"/>
          <w:sz w:val="16"/>
          <w:szCs w:val="16"/>
          <w:color w:val="auto"/>
        </w:rPr>
        <w:t>Our platform handles over 100 billion daily ad requests, approximately 500 terabytes of daily data and approximately 250 million daily ad impressions. Each transaction is processed in a fraction of a second (55ms on average) and powered by our real-time bidding engine, which leverages thousands of private servers and infrastructure in three strategically located data centers located in the United States, Europe and Asia Pacific.</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Key Components of our platform include:</w:t>
      </w:r>
    </w:p>
    <w:p>
      <w:pPr>
        <w:spacing w:after="0" w:line="225" w:lineRule="exact"/>
        <w:rPr>
          <w:sz w:val="20"/>
          <w:szCs w:val="20"/>
          <w:color w:val="auto"/>
        </w:rPr>
      </w:pPr>
    </w:p>
    <w:p>
      <w:pPr>
        <w:jc w:val="both"/>
        <w:ind w:left="780" w:hanging="340"/>
        <w:spacing w:after="0" w:line="259"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Demand Side Platform – We offer a self-service DSP solution for advertisers and their agencies to efficiently and intuitively manage omni-channel campaigns. We also offer a full-service option to agencies in addition to our self-service DSP solution. Our DSP solution provides access to wide reaching and high-quality inventory, audience targeting and advanced reporting to optimize advertising campaigns, improve ROI and gain deep insights and analytics into brand engagement.</w:t>
      </w:r>
    </w:p>
    <w:p>
      <w:pPr>
        <w:spacing w:after="0" w:line="186" w:lineRule="exact"/>
        <w:rPr>
          <w:rFonts w:ascii="Arial" w:cs="Arial" w:eastAsia="Arial" w:hAnsi="Arial"/>
          <w:sz w:val="18"/>
          <w:szCs w:val="18"/>
          <w:color w:val="auto"/>
        </w:rPr>
      </w:pPr>
    </w:p>
    <w:p>
      <w:pPr>
        <w:jc w:val="both"/>
        <w:ind w:left="780" w:hanging="340"/>
        <w:spacing w:after="0" w:line="275" w:lineRule="auto"/>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Data Management Platform – We offer a fully integrated DMP solution that sits at the center of our platform that unlocks the power of data flowing through our DSP and SSP solutions. Our DMP enables advertisers and publishers to use data from various sources in order to optimize results of their advertising campaigns. Our DMP provides insights and recommendations pertaining to geographic, behavioral and demographic data, among others in one unified solution. We believe an integrated DMP is a key component to the marketplace because it enables advertisers and publishers to use and activate data to target audiences with more accuracy across a number of different channels.</w:t>
      </w:r>
    </w:p>
    <w:p>
      <w:pPr>
        <w:spacing w:after="0" w:line="176" w:lineRule="exact"/>
        <w:rPr>
          <w:rFonts w:ascii="Arial" w:cs="Arial" w:eastAsia="Arial" w:hAnsi="Arial"/>
          <w:sz w:val="17"/>
          <w:szCs w:val="17"/>
          <w:color w:val="auto"/>
        </w:rPr>
      </w:pPr>
    </w:p>
    <w:p>
      <w:pPr>
        <w:jc w:val="both"/>
        <w:ind w:left="780" w:hanging="340"/>
        <w:spacing w:after="0" w:line="286" w:lineRule="auto"/>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Supply Side Platform – We offer a self-service SSP solution for digital publishers to sell their online ad placements via a real-time bidding auction across all screens including mobile, CTVs, streaming devices and desktops. Our SSP provides access to significant amounts of data, unique demand and a comprehensive product suite to drive more effective inventory management and revenue optimization.</w:t>
      </w:r>
    </w:p>
    <w:p>
      <w:pPr>
        <w:spacing w:after="0" w:line="165" w:lineRule="exact"/>
        <w:rPr>
          <w:rFonts w:ascii="Arial" w:cs="Arial" w:eastAsia="Arial" w:hAnsi="Arial"/>
          <w:sz w:val="17"/>
          <w:szCs w:val="17"/>
          <w:color w:val="auto"/>
        </w:rPr>
      </w:pPr>
    </w:p>
    <w:p>
      <w:pPr>
        <w:jc w:val="both"/>
        <w:ind w:left="780" w:hanging="340"/>
        <w:spacing w:after="0" w:line="286" w:lineRule="auto"/>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Analytics/Artificial Intelligence - We collect, synthesize and analyze the data sets across our platform through extensive artificial intelligence technologies and advanced machine learning capabilities. These recommendations ultimately provide key insights into valuable ad impressions and forecasts for auction behavior. We believe these technologies drive optimal results for our advertisers and publishers.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DSP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Key features of our DSP include:</w:t>
      </w:r>
    </w:p>
    <w:p>
      <w:pPr>
        <w:spacing w:after="0" w:line="225" w:lineRule="exact"/>
        <w:rPr>
          <w:sz w:val="20"/>
          <w:szCs w:val="20"/>
          <w:color w:val="auto"/>
        </w:rPr>
      </w:pPr>
    </w:p>
    <w:p>
      <w:pPr>
        <w:ind w:left="780" w:right="20" w:hanging="340"/>
        <w:spacing w:after="0" w:line="277"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Comprehensive, insightful and modern self-service interface that intuitively supports the needs of advertisers and enables them to operate and implement strategies effectively and independently.</w:t>
      </w:r>
    </w:p>
    <w:p>
      <w:pPr>
        <w:spacing w:after="0" w:line="170" w:lineRule="exact"/>
        <w:rPr>
          <w:rFonts w:ascii="Arial" w:cs="Arial" w:eastAsia="Arial" w:hAnsi="Arial"/>
          <w:sz w:val="18"/>
          <w:szCs w:val="18"/>
          <w:color w:val="auto"/>
        </w:rPr>
      </w:pPr>
    </w:p>
    <w:p>
      <w:pPr>
        <w:ind w:left="780" w:hanging="340"/>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Superior artificial intelligence-based real-time bidding models, to drive efficient buying and meet our customers’ key performance indicators.</w:t>
      </w:r>
    </w:p>
    <w:p>
      <w:pPr>
        <w:spacing w:after="0" w:line="248" w:lineRule="exact"/>
        <w:rPr>
          <w:rFonts w:ascii="Arial" w:cs="Arial" w:eastAsia="Arial" w:hAnsi="Arial"/>
          <w:sz w:val="16"/>
          <w:szCs w:val="16"/>
          <w:color w:val="auto"/>
        </w:rPr>
      </w:pPr>
    </w:p>
    <w:p>
      <w:pPr>
        <w:ind w:left="780" w:right="320" w:hanging="340"/>
        <w:spacing w:after="0" w:line="277"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Enables seamless access to and integration of an advertisers’ own first-party data, our proprietary data and a wide list of premium third-party data segments.</w:t>
      </w:r>
    </w:p>
    <w:p>
      <w:pPr>
        <w:spacing w:after="0" w:line="170" w:lineRule="exact"/>
        <w:rPr>
          <w:rFonts w:ascii="Arial" w:cs="Arial" w:eastAsia="Arial" w:hAnsi="Arial"/>
          <w:sz w:val="18"/>
          <w:szCs w:val="18"/>
          <w:color w:val="auto"/>
        </w:rPr>
      </w:pPr>
    </w:p>
    <w:p>
      <w:pPr>
        <w:ind w:left="780" w:hanging="340"/>
        <w:spacing w:after="0" w:line="277"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Meaningful forecasting and reporting tools, our DSP can accurately measure how many households and unique users an advertising campaign are able to reach through any targeting initiatives to ensure campaign strategies are achievable.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ind w:left="780" w:right="20" w:hanging="340"/>
        <w:spacing w:after="0" w:line="308" w:lineRule="auto"/>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Robust omni-channel reporting and insights tools which enables advertisers to analyze across device and channel campaign effectiveness against various key performance indicators with the ability to compare their statistics through various comprehensive benchmarks.</w:t>
      </w:r>
    </w:p>
    <w:p>
      <w:pPr>
        <w:spacing w:after="0" w:line="146" w:lineRule="exact"/>
        <w:rPr>
          <w:rFonts w:ascii="Arial" w:cs="Arial" w:eastAsia="Arial" w:hAnsi="Arial"/>
          <w:sz w:val="17"/>
          <w:szCs w:val="17"/>
          <w:color w:val="auto"/>
        </w:rPr>
      </w:pPr>
    </w:p>
    <w:p>
      <w:pPr>
        <w:ind w:left="780" w:hanging="340"/>
        <w:spacing w:after="0" w:line="277"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Access to our creative studio (tr.ly) with deep expertise to support a variety of creative needs and ideas to enrich messaging and consumer engagements.</w:t>
      </w:r>
    </w:p>
    <w:p>
      <w:pPr>
        <w:spacing w:after="0" w:line="170" w:lineRule="exact"/>
        <w:rPr>
          <w:rFonts w:ascii="Arial" w:cs="Arial" w:eastAsia="Arial" w:hAnsi="Arial"/>
          <w:sz w:val="18"/>
          <w:szCs w:val="18"/>
          <w:color w:val="auto"/>
        </w:rPr>
      </w:pPr>
    </w:p>
    <w:p>
      <w:pPr>
        <w:ind w:left="780" w:hanging="340"/>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Data and Brand Surveys that provide meaningful information for advertisers to evaluate brand lift and behavioral and emotional engagement.</w:t>
      </w:r>
    </w:p>
    <w:p>
      <w:pPr>
        <w:spacing w:after="0" w:line="248" w:lineRule="exact"/>
        <w:rPr>
          <w:rFonts w:ascii="Arial" w:cs="Arial" w:eastAsia="Arial" w:hAnsi="Arial"/>
          <w:sz w:val="16"/>
          <w:szCs w:val="16"/>
          <w:color w:val="auto"/>
        </w:rPr>
      </w:pPr>
    </w:p>
    <w:p>
      <w:pPr>
        <w:jc w:val="both"/>
        <w:ind w:left="780" w:hanging="340"/>
        <w:spacing w:after="0" w:line="263"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proprietary brand safety technology uses a combination of machine-learning and propriety algorithms as well as data ingestion from industry-leading verification providers to develop and maintain dynamic block lists and a scoring mechanism to grade our traffic before, during and after ad requests are made.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SSP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Key features of our SSP include:</w:t>
      </w:r>
    </w:p>
    <w:p>
      <w:pPr>
        <w:spacing w:after="0" w:line="225" w:lineRule="exact"/>
        <w:rPr>
          <w:sz w:val="20"/>
          <w:szCs w:val="20"/>
          <w:color w:val="auto"/>
        </w:rPr>
      </w:pPr>
    </w:p>
    <w:p>
      <w:pPr>
        <w:jc w:val="both"/>
        <w:ind w:left="780" w:hanging="340"/>
        <w:spacing w:after="0" w:line="259"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Comprehensive and highly intuitive self-service platform which enables publishers to easily integrate into our ecosystem, manage their digital inventory, access reporting and insights and transact with their programmatic buyers through private marketplace deals. Once integrated with our SSP solution, publishers also benefit from our unique and differentiated demand available through our proprietary DSP solution and additionally through demand facilitation initiatives driven by our global sales force.</w:t>
      </w:r>
    </w:p>
    <w:p>
      <w:pPr>
        <w:spacing w:after="0" w:line="186" w:lineRule="exact"/>
        <w:rPr>
          <w:rFonts w:ascii="Arial" w:cs="Arial" w:eastAsia="Arial" w:hAnsi="Arial"/>
          <w:sz w:val="18"/>
          <w:szCs w:val="18"/>
          <w:color w:val="auto"/>
        </w:rPr>
      </w:pPr>
    </w:p>
    <w:p>
      <w:pPr>
        <w:jc w:val="both"/>
        <w:ind w:left="780" w:hanging="340"/>
        <w:spacing w:after="0" w:line="263"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Connection to the world’s largest DSPs and compatibility with most AdAge top 100 brands. Our SSP solution delivers over 6 billion advertisements to viewers every month and optimizes content for different formats, builds effective custom audiences and delivers impressive ROI at scale.</w:t>
      </w:r>
    </w:p>
    <w:p>
      <w:pPr>
        <w:spacing w:after="0" w:line="183" w:lineRule="exact"/>
        <w:rPr>
          <w:rFonts w:ascii="Arial" w:cs="Arial" w:eastAsia="Arial" w:hAnsi="Arial"/>
          <w:sz w:val="18"/>
          <w:szCs w:val="18"/>
          <w:color w:val="auto"/>
        </w:rPr>
      </w:pPr>
    </w:p>
    <w:p>
      <w:pPr>
        <w:ind w:left="780" w:right="20" w:hanging="340"/>
        <w:spacing w:after="0" w:line="277"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Omni-channel marketplace with access to approximately 1,600 active publishers across the globe and exclusive access to News Corp digital advertising inventory.</w:t>
      </w:r>
    </w:p>
    <w:p>
      <w:pPr>
        <w:spacing w:after="0" w:line="170" w:lineRule="exact"/>
        <w:rPr>
          <w:rFonts w:ascii="Arial" w:cs="Arial" w:eastAsia="Arial" w:hAnsi="Arial"/>
          <w:sz w:val="18"/>
          <w:szCs w:val="18"/>
          <w:color w:val="auto"/>
        </w:rPr>
      </w:pPr>
    </w:p>
    <w:p>
      <w:pPr>
        <w:ind w:left="780" w:right="20" w:hanging="340"/>
        <w:spacing w:after="0" w:line="277"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Industry-leading forecasting analytics and data-driven yield optimization tools to maximize inventory monetization and delivers impressive ROI at scale.</w:t>
      </w:r>
    </w:p>
    <w:p>
      <w:pPr>
        <w:spacing w:after="0" w:line="170" w:lineRule="exact"/>
        <w:rPr>
          <w:rFonts w:ascii="Arial" w:cs="Arial" w:eastAsia="Arial" w:hAnsi="Arial"/>
          <w:sz w:val="18"/>
          <w:szCs w:val="18"/>
          <w:color w:val="auto"/>
        </w:rPr>
      </w:pPr>
    </w:p>
    <w:p>
      <w:pPr>
        <w:ind w:left="780" w:hanging="340"/>
        <w:spacing w:after="0" w:line="277"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Enables publishers to customize their experience through the ability to opt out of certain ad verticals or specific advertisers in order to customize demand for their media and manage channel conflicts.</w:t>
      </w:r>
    </w:p>
    <w:p>
      <w:pPr>
        <w:spacing w:after="0" w:line="170" w:lineRule="exact"/>
        <w:rPr>
          <w:rFonts w:ascii="Arial" w:cs="Arial" w:eastAsia="Arial" w:hAnsi="Arial"/>
          <w:sz w:val="18"/>
          <w:szCs w:val="18"/>
          <w:color w:val="auto"/>
        </w:rPr>
      </w:pPr>
    </w:p>
    <w:p>
      <w:pPr>
        <w:jc w:val="both"/>
        <w:ind w:left="780" w:hanging="340"/>
        <w:spacing w:after="0" w:line="263"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Support for all major integration types, including open real-time bidding, header-bidding solutions, as well as our proprietary client-side solutions, including our video player, giving publishers the flexibility of choosing the methods through which they want to offer their ad inventory to advertisers.</w:t>
      </w:r>
    </w:p>
    <w:p>
      <w:pPr>
        <w:spacing w:after="0" w:line="183" w:lineRule="exact"/>
        <w:rPr>
          <w:rFonts w:ascii="Arial" w:cs="Arial" w:eastAsia="Arial" w:hAnsi="Arial"/>
          <w:sz w:val="18"/>
          <w:szCs w:val="18"/>
          <w:color w:val="auto"/>
        </w:rPr>
      </w:pPr>
    </w:p>
    <w:p>
      <w:pPr>
        <w:jc w:val="both"/>
        <w:ind w:left="780" w:hanging="340"/>
        <w:spacing w:after="0" w:line="279" w:lineRule="auto"/>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Recent acquisition of the Spearad, which is a platform purposed-built for broadcasters and TV content companies to deliver seamless TV-like experiences in connected TV (CTV), linear addressable TV and over the top (OTT) environments. The platform includes a robust user interface with advanced data driven tools for TV ad pod management and monetization on both pre-recorded and live TV content as well as a unified auction tool, enabling broadcasters and publishers to seamlessly mediate their demand partnerships.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Data and Data Management Platform (“DMP”)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Key features of our DMP include:</w:t>
      </w:r>
    </w:p>
    <w:p>
      <w:pPr>
        <w:spacing w:after="0" w:line="225" w:lineRule="exact"/>
        <w:rPr>
          <w:sz w:val="20"/>
          <w:szCs w:val="20"/>
          <w:color w:val="auto"/>
        </w:rPr>
      </w:pPr>
    </w:p>
    <w:p>
      <w:pPr>
        <w:jc w:val="both"/>
        <w:ind w:left="780" w:hanging="340"/>
        <w:spacing w:after="0" w:line="279" w:lineRule="auto"/>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Audience segments that are generated directly within our platform, leveraging a collection of first- and third-party data sets, including strategic data partnerships. Our platform also enables advertisers and publishers to connect and leverage their own first party data for activation across our ecosystem. Based on our platform’s statistical models, we are able to uncover deep insights from behavioral data, feeding into a machine learning platform that allows us to achieve our advertisers’ and publishers’ performance metrics.</w:t>
      </w:r>
    </w:p>
    <w:p>
      <w:pPr>
        <w:spacing w:after="0" w:line="171" w:lineRule="exact"/>
        <w:rPr>
          <w:rFonts w:ascii="Arial" w:cs="Arial" w:eastAsia="Arial" w:hAnsi="Arial"/>
          <w:sz w:val="17"/>
          <w:szCs w:val="17"/>
          <w:color w:val="auto"/>
        </w:rPr>
      </w:pPr>
    </w:p>
    <w:p>
      <w:pPr>
        <w:ind w:left="780" w:hanging="340"/>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Ability for advertisers and publishers to layer custom data segments against their campaigns and private marketplace deals.</w:t>
      </w:r>
    </w:p>
    <w:p>
      <w:pPr>
        <w:spacing w:after="0" w:line="225" w:lineRule="exact"/>
        <w:rPr>
          <w:rFonts w:ascii="Arial" w:cs="Arial" w:eastAsia="Arial" w:hAnsi="Arial"/>
          <w:sz w:val="18"/>
          <w:szCs w:val="18"/>
          <w:color w:val="auto"/>
        </w:rPr>
      </w:pPr>
    </w:p>
    <w:p>
      <w:pPr>
        <w:ind w:left="780" w:hanging="340"/>
        <w:spacing w:after="0" w:line="308" w:lineRule="auto"/>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Includes unique data driven insights available through our self-service user interfaces or custom built and curated by our team, along with the ability for advertisers and publishers to forecast scale, reach and media cost against the audiences they are looking to target.</w:t>
      </w:r>
    </w:p>
    <w:p>
      <w:pPr>
        <w:spacing w:after="0" w:line="146" w:lineRule="exact"/>
        <w:rPr>
          <w:rFonts w:ascii="Arial" w:cs="Arial" w:eastAsia="Arial" w:hAnsi="Arial"/>
          <w:sz w:val="17"/>
          <w:szCs w:val="17"/>
          <w:color w:val="auto"/>
        </w:rPr>
      </w:pPr>
    </w:p>
    <w:p>
      <w:pPr>
        <w:ind w:left="780" w:hanging="340"/>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Provides for audience driven creative optimization, combining the power of the DMP with our proprietary creative platform (tr.ly).</w:t>
      </w:r>
    </w:p>
    <w:p>
      <w:pPr>
        <w:spacing w:after="0" w:line="225" w:lineRule="exact"/>
        <w:rPr>
          <w:rFonts w:ascii="Arial" w:cs="Arial" w:eastAsia="Arial" w:hAnsi="Arial"/>
          <w:sz w:val="18"/>
          <w:szCs w:val="18"/>
          <w:color w:val="auto"/>
        </w:rPr>
      </w:pPr>
    </w:p>
    <w:p>
      <w:pPr>
        <w:ind w:left="780" w:hanging="340"/>
        <w:spacing w:after="0" w:line="277"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Specific focus and expertise around the collection and packaging of TV Viewership Data for activation and insights, providing advertisers strong content retargeting, insight and attribution capabilities on digital formats.</w:t>
      </w:r>
    </w:p>
    <w:p>
      <w:pPr>
        <w:spacing w:after="0" w:line="170" w:lineRule="exact"/>
        <w:rPr>
          <w:rFonts w:ascii="Arial" w:cs="Arial" w:eastAsia="Arial" w:hAnsi="Arial"/>
          <w:sz w:val="18"/>
          <w:szCs w:val="18"/>
          <w:color w:val="auto"/>
        </w:rPr>
      </w:pPr>
    </w:p>
    <w:p>
      <w:pPr>
        <w:ind w:left="780" w:right="20" w:hanging="340"/>
        <w:spacing w:after="0" w:line="277"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EQ product, fully integrated into our DMP, is a proprietary emotional analytics tool that provides advertisers the data they need to maximize the emotional, social and business impact of their advertising.</w:t>
      </w:r>
    </w:p>
    <w:p>
      <w:pPr>
        <w:spacing w:after="0" w:line="170" w:lineRule="exact"/>
        <w:rPr>
          <w:rFonts w:ascii="Arial" w:cs="Arial" w:eastAsia="Arial" w:hAnsi="Arial"/>
          <w:sz w:val="18"/>
          <w:szCs w:val="18"/>
          <w:color w:val="auto"/>
        </w:rPr>
      </w:pPr>
    </w:p>
    <w:p>
      <w:pPr>
        <w:ind w:left="780" w:right="20" w:hanging="340"/>
        <w:spacing w:after="0" w:line="277"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EQ product compiles surveys along with facial recognition of users to see how those individuals responds to questions or advertising, which further engages targeting for our advertisers’ campaigns.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jc w:val="both"/>
        <w:ind w:firstLine="441"/>
        <w:spacing w:after="0" w:line="311" w:lineRule="auto"/>
        <w:rPr>
          <w:sz w:val="20"/>
          <w:szCs w:val="20"/>
          <w:color w:val="auto"/>
        </w:rPr>
      </w:pPr>
      <w:r>
        <w:rPr>
          <w:rFonts w:ascii="Arial" w:cs="Arial" w:eastAsia="Arial" w:hAnsi="Arial"/>
          <w:sz w:val="16"/>
          <w:szCs w:val="16"/>
          <w:color w:val="auto"/>
        </w:rPr>
        <w:t>Our customers consist of blue-chip global brands and advertising agencies on the demand side and high-quality publishers on the supply side across several industries, including retail, entertainment, consumer, financial services, healthcare and more. We had approximately 800 active customers for the year ended December 31, 2021 including prominent members of the U7 Council such as American Express, GSK, P&amp;G, Unilever and others.</w:t>
      </w:r>
    </w:p>
    <w:p>
      <w:pPr>
        <w:spacing w:after="0" w:line="14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On our demand side, we have brands and agencies using our self-service offering, our own managed services offering and third-party DSP integrations. Buyers and advertisers transact through these tools. On the supply side, we service digital publishers, app developers and subscribers to our self-serve platform.</w:t>
      </w:r>
    </w:p>
    <w:p>
      <w:pPr>
        <w:spacing w:after="0" w:line="184"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We enter into contracts with our customers either through MSAs or insertion orders. An insertion order is an agreement entered into by an advertiser and publisher to govern the terms of running a campaign. Our customers typically enter into MSAs with us that give users access to our platform. These MSAs typically have one year terms that renew automatically, unless earlier terminated.</w:t>
      </w:r>
    </w:p>
    <w:p>
      <w:pPr>
        <w:spacing w:after="0" w:line="184"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We have long standing relationships with our customer base. Our customers repeatedly use our platform, illustrated by our Contribution ex-TAC retention rate of 150% in the year ended December 31, 2021. In addition, our customers typically grow their use of our platform over time.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Our Competition</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We have a number of competitors that operate in segments of our business, but few of our competitors provide the full end-to-end technology solution that we offer.</w:t>
      </w:r>
    </w:p>
    <w:p>
      <w:pPr>
        <w:spacing w:after="0" w:line="170"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believe that our long track record and expertise in the digital advertising industry gives us significant advantages with regards to platform development and expertise, as well as a long development lead ahead of new entrants. We also believe that we compete primarily based on the performance of campaigns running on our platform, capabilities of our platform, our identity resolution capabilities, our omni-channel capabilities and our advance reporting and measurement capabilities.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the demand side, companies such as Roku Inc., Viant Technology, Inc., Samsung, Inc. and MediaMath are some of our key competitors.</w:t>
      </w:r>
    </w:p>
    <w:p>
      <w:pPr>
        <w:spacing w:after="0" w:line="237"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On the supply side, companies such as Magnite, Inc., Freewheel and PubMatic, Inc. are our main competitors, all of which compete to provide publisher inventory to advertisers.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the principal competitive factors in our industry include the following:</w:t>
      </w:r>
    </w:p>
    <w:p>
      <w:pPr>
        <w:spacing w:after="0" w:line="225" w:lineRule="exact"/>
        <w:rPr>
          <w:sz w:val="20"/>
          <w:szCs w:val="20"/>
          <w:color w:val="auto"/>
        </w:rPr>
      </w:pPr>
    </w:p>
    <w:p>
      <w:pPr>
        <w:ind w:left="780" w:hanging="340"/>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proven technology, software-as-a-service offering and optimization capabilities;</w:t>
      </w:r>
    </w:p>
    <w:p>
      <w:pPr>
        <w:spacing w:after="0" w:line="225" w:lineRule="exact"/>
        <w:rPr>
          <w:rFonts w:ascii="Arial" w:cs="Arial" w:eastAsia="Arial" w:hAnsi="Arial"/>
          <w:sz w:val="18"/>
          <w:szCs w:val="18"/>
          <w:color w:val="auto"/>
        </w:rPr>
      </w:pPr>
    </w:p>
    <w:p>
      <w:pPr>
        <w:ind w:left="780" w:hanging="340"/>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omni-channel execution;</w:t>
      </w:r>
    </w:p>
    <w:p>
      <w:pPr>
        <w:spacing w:after="0" w:line="225" w:lineRule="exact"/>
        <w:rPr>
          <w:rFonts w:ascii="Arial" w:cs="Arial" w:eastAsia="Arial" w:hAnsi="Arial"/>
          <w:sz w:val="18"/>
          <w:szCs w:val="18"/>
          <w:color w:val="auto"/>
        </w:rPr>
      </w:pPr>
    </w:p>
    <w:p>
      <w:pPr>
        <w:ind w:left="780" w:hanging="340"/>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quality and scale of digital inventory and demand;</w:t>
      </w:r>
    </w:p>
    <w:p>
      <w:pPr>
        <w:spacing w:after="0" w:line="225" w:lineRule="exact"/>
        <w:rPr>
          <w:rFonts w:ascii="Arial" w:cs="Arial" w:eastAsia="Arial" w:hAnsi="Arial"/>
          <w:sz w:val="18"/>
          <w:szCs w:val="18"/>
          <w:color w:val="auto"/>
        </w:rPr>
      </w:pPr>
    </w:p>
    <w:p>
      <w:pPr>
        <w:ind w:left="780" w:hanging="340"/>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depth and breadth of relationships with brand advertisers, premium publishers and agencies;</w:t>
      </w:r>
    </w:p>
    <w:p>
      <w:pPr>
        <w:spacing w:after="0" w:line="225" w:lineRule="exact"/>
        <w:rPr>
          <w:rFonts w:ascii="Arial" w:cs="Arial" w:eastAsia="Arial" w:hAnsi="Arial"/>
          <w:sz w:val="18"/>
          <w:szCs w:val="18"/>
          <w:color w:val="auto"/>
        </w:rPr>
      </w:pPr>
    </w:p>
    <w:p>
      <w:pPr>
        <w:ind w:left="780" w:hanging="340"/>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full suite of viewability, measurement, verification and brand safety offerings;</w:t>
      </w:r>
    </w:p>
    <w:p>
      <w:pPr>
        <w:spacing w:after="0" w:line="225" w:lineRule="exact"/>
        <w:rPr>
          <w:rFonts w:ascii="Arial" w:cs="Arial" w:eastAsia="Arial" w:hAnsi="Arial"/>
          <w:sz w:val="18"/>
          <w:szCs w:val="18"/>
          <w:color w:val="auto"/>
        </w:rPr>
      </w:pPr>
    </w:p>
    <w:p>
      <w:pPr>
        <w:ind w:left="780" w:hanging="340"/>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flexible pricing; and</w:t>
      </w:r>
    </w:p>
    <w:p>
      <w:pPr>
        <w:spacing w:after="0" w:line="225" w:lineRule="exact"/>
        <w:rPr>
          <w:rFonts w:ascii="Arial" w:cs="Arial" w:eastAsia="Arial" w:hAnsi="Arial"/>
          <w:sz w:val="18"/>
          <w:szCs w:val="18"/>
          <w:color w:val="auto"/>
        </w:rPr>
      </w:pPr>
    </w:p>
    <w:p>
      <w:pPr>
        <w:ind w:left="780" w:hanging="340"/>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transparency in the ecosystem.</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We believe that we compete favorably with respect to all of these factors and are well positioned as a full service end-to-end platform catering to both advertisers and publishers.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Development</w:t>
      </w:r>
    </w:p>
    <w:p>
      <w:pPr>
        <w:spacing w:after="0" w:line="22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Our business model enables us to invest into our research and development efforts, which have helped grow our business. Our platform is extremely efficient at managing large amounts of complex data and is leveraged by both our advertisers and publishers in real time. We are committed to innovative technologies and rapid introduction of enhanced functionalities to support the dynamic needs of our advertisers and publishers. We therefore expect technology and development expense to increase as we continue to invest in our platform to support increased volume of advertising spend and our international expansion. Our technology and development team is based in the United States and Israel. As of December 31, 2021, research and development expenses accounted for 9% of our operating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441"/>
        <w:spacing w:after="0" w:line="311" w:lineRule="auto"/>
        <w:rPr>
          <w:sz w:val="20"/>
          <w:szCs w:val="20"/>
          <w:color w:val="auto"/>
        </w:rPr>
      </w:pPr>
      <w:r>
        <w:rPr>
          <w:rFonts w:ascii="Arial" w:cs="Arial" w:eastAsia="Arial" w:hAnsi="Arial"/>
          <w:sz w:val="16"/>
          <w:szCs w:val="16"/>
          <w:color w:val="auto"/>
        </w:rPr>
        <w:t>As an end-to-end platform, we have highly qualified teams dedicated to acquiring new premium advertising and publisher customers. These teams focus on selling access to our platform through self-serve and managed service offerings. Our global sales and marketing team consists of approximately 180 employees as of December 31, 2021 and takes a hands-on approach to both new and existing advertiser and publisher relationships.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jc w:val="both"/>
        <w:ind w:firstLine="441"/>
        <w:spacing w:after="0" w:line="301" w:lineRule="auto"/>
        <w:rPr>
          <w:sz w:val="20"/>
          <w:szCs w:val="20"/>
          <w:color w:val="auto"/>
        </w:rPr>
      </w:pPr>
      <w:r>
        <w:rPr>
          <w:rFonts w:ascii="Arial" w:cs="Arial" w:eastAsia="Arial" w:hAnsi="Arial"/>
          <w:sz w:val="16"/>
          <w:szCs w:val="16"/>
          <w:color w:val="auto"/>
        </w:rPr>
        <w:t>We have dedicated teams focused on post-sale customer support. Our client success team onboards advertisers and liaises directly with the customer on a regular basis to optimize delivery against key performance indicators and help meet their goals throughout the campaign life-cycle. Our publisher operations team onboards publishers and engages directly with the customer to support their needs and effectively monetize inventory. We expect to continue to expand our sales and marketing and customer support teams as we expand into new industry verticals and geographical markets.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 and Culture</w:t>
      </w:r>
    </w:p>
    <w:p>
      <w:pPr>
        <w:spacing w:after="0" w:line="229" w:lineRule="exact"/>
        <w:rPr>
          <w:sz w:val="20"/>
          <w:szCs w:val="20"/>
          <w:color w:val="auto"/>
        </w:rPr>
      </w:pPr>
    </w:p>
    <w:p>
      <w:pPr>
        <w:jc w:val="both"/>
        <w:ind w:right="20" w:firstLine="441"/>
        <w:spacing w:after="0" w:line="342" w:lineRule="auto"/>
        <w:rPr>
          <w:sz w:val="20"/>
          <w:szCs w:val="20"/>
          <w:color w:val="auto"/>
        </w:rPr>
      </w:pPr>
      <w:r>
        <w:rPr>
          <w:rFonts w:ascii="Arial" w:cs="Arial" w:eastAsia="Arial" w:hAnsi="Arial"/>
          <w:sz w:val="16"/>
          <w:szCs w:val="16"/>
          <w:color w:val="auto"/>
        </w:rPr>
        <w:t>As part of our track record of successfully integrating acquisitions, we pride ourselves on bringing together new teams under one culture. Each day, we strive to be as Innovative, Committed, Collaborative and Authentic as possible, with No Ego which is why these are our global company values.</w:t>
      </w:r>
    </w:p>
    <w:p>
      <w:pPr>
        <w:spacing w:after="0" w:line="124"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Our management team encourages employees to share their feedback, ideas and thoughts by promoting a transparent organizational culture and an open door policy. We also introduced internal surveys to garner employee feedback and satisfaction and to receive suggestions.</w:t>
      </w:r>
    </w:p>
    <w:p>
      <w:pPr>
        <w:spacing w:after="0" w:line="146"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communicate and build relationships with external stakeholders via our marketing efforts, including digital and social media, events, public relations, direct marketing and online advertising among other initiatives. We have “People &amp; Culture” programs, which provide</w:t>
      </w:r>
      <w:r>
        <w:rPr>
          <w:rFonts w:ascii="Arial" w:cs="Arial" w:eastAsia="Arial" w:hAnsi="Arial"/>
          <w:sz w:val="18"/>
          <w:szCs w:val="18"/>
          <w:color w:val="auto"/>
          <w:strike w:val="1"/>
        </w:rPr>
        <w:t>s</w:t>
      </w:r>
      <w:r>
        <w:rPr>
          <w:rFonts w:ascii="Arial" w:cs="Arial" w:eastAsia="Arial" w:hAnsi="Arial"/>
          <w:sz w:val="18"/>
          <w:szCs w:val="18"/>
          <w:color w:val="auto"/>
        </w:rPr>
        <w:t xml:space="preserve"> employees with volunteer opportunities in many of our local communities, particularly focused on education and serving underprivileged communities. We as a company also regularly donate to voluntary associations.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4495800</wp:posOffset>
            </wp:positionH>
            <wp:positionV relativeFrom="paragraph">
              <wp:posOffset>-214630</wp:posOffset>
            </wp:positionV>
            <wp:extent cx="285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7" w:lineRule="exact"/>
        <w:rPr>
          <w:sz w:val="20"/>
          <w:szCs w:val="20"/>
          <w:color w:val="auto"/>
        </w:rPr>
      </w:pPr>
    </w:p>
    <w:p>
      <w:pPr>
        <w:jc w:val="both"/>
        <w:ind w:firstLine="441"/>
        <w:spacing w:after="0" w:line="311" w:lineRule="auto"/>
        <w:rPr>
          <w:sz w:val="20"/>
          <w:szCs w:val="20"/>
          <w:color w:val="auto"/>
        </w:rPr>
      </w:pPr>
      <w:r>
        <w:rPr>
          <w:rFonts w:ascii="Arial" w:cs="Arial" w:eastAsia="Arial" w:hAnsi="Arial"/>
          <w:sz w:val="16"/>
          <w:szCs w:val="16"/>
          <w:color w:val="auto"/>
        </w:rPr>
        <w:t>Our employees tend to be long tenured for our industry, with an average tenure of the leadership team of approximately four years and more than three years across all employees. We believe we attract talented employees to our company and sophisticated customers to our platform in large part because of our vision and unwavering commitment to using cutting-edge technologies to create products that help advance the advertising industry.</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2021, we had 576 employees globally.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Our success depends, in part, on our ability to protect the proprietary methods and technologies that we develop or otherwise acquire. We rely on copyright, trade secret laws, confidentiality procedures and contractual provisions to protect our proprietary methods and technologies, and own more than 50 patents. We rely upon common law protection for certain marks, such as “Tremor” and “Tremor Video.”</w:t>
      </w:r>
    </w:p>
    <w:p>
      <w:pPr>
        <w:spacing w:after="0" w:line="184"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We generally enter into confidentiality and/or license agreements with our employees, consultants, vendors and advertisers, and we generally limit access to, and distribution of, our proprietary information. We intend to pursue additional intellectual property protection to the extent we believe it would be beneficial and cost effective.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Data</w:t>
      </w:r>
    </w:p>
    <w:p>
      <w:pPr>
        <w:spacing w:after="0" w:line="229"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Modern consumers use multiple platforms to learn about and purchase products and services, and consumers have come to expect a seamless experience across all channels. This challenges marketing organizations to balance the demands of consumers and the most effective advertising techniques with responsible, privacy-compliant methods of managing data internally and with advertising technology intermediaries.</w:t>
      </w:r>
    </w:p>
    <w:p>
      <w:pPr>
        <w:spacing w:after="0" w:line="165" w:lineRule="exact"/>
        <w:rPr>
          <w:sz w:val="20"/>
          <w:szCs w:val="20"/>
          <w:color w:val="auto"/>
        </w:rPr>
      </w:pPr>
    </w:p>
    <w:p>
      <w:pPr>
        <w:jc w:val="both"/>
        <w:ind w:firstLine="441"/>
        <w:spacing w:after="0" w:line="311" w:lineRule="auto"/>
        <w:rPr>
          <w:sz w:val="20"/>
          <w:szCs w:val="20"/>
          <w:color w:val="auto"/>
        </w:rPr>
      </w:pPr>
      <w:r>
        <w:rPr>
          <w:rFonts w:ascii="Arial" w:cs="Arial" w:eastAsia="Arial" w:hAnsi="Arial"/>
          <w:sz w:val="16"/>
          <w:szCs w:val="16"/>
          <w:color w:val="auto"/>
        </w:rPr>
        <w:t>In the United States, both state and federal legislation govern activities such as the collection and use of data by companies that engage in digital advertising like us. Also, because our platform reaches users throughout the world, some of our activities may also be subject to foreign legislation. As we continue to expand internationally, we will be subject to additional legislation and regulation, and these laws may affect how we conduct business.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jc w:val="both"/>
        <w:ind w:firstLine="441"/>
        <w:spacing w:after="0" w:line="273" w:lineRule="auto"/>
        <w:rPr>
          <w:sz w:val="20"/>
          <w:szCs w:val="20"/>
          <w:color w:val="auto"/>
        </w:rPr>
      </w:pPr>
      <w:r>
        <w:rPr>
          <w:rFonts w:ascii="Arial" w:cs="Arial" w:eastAsia="Arial" w:hAnsi="Arial"/>
          <w:sz w:val="17"/>
          <w:szCs w:val="17"/>
          <w:color w:val="auto"/>
        </w:rPr>
        <w:t>The U.S. Congress and state legislatures, along with federal regulatory authorities, have increased their attention on matters concerning the collection and use of consumer data, including relating to internet-based advertising. Data privacy legislation has been introduced in the U.S. Congress, and several states, including California, Virginia, Colorado and Utah, have enacted comprehensive privacy legislation granting rights to consumers to enable increased control over the use of their data. These laws include a consumer’s ability to restrict use of data for behavioral or cross-context advertising purposes. Additional state legislatures have proposed</w:t>
      </w:r>
      <w:r>
        <w:rPr>
          <w:rFonts w:ascii="Arial" w:cs="Arial" w:eastAsia="Arial" w:hAnsi="Arial"/>
          <w:sz w:val="17"/>
          <w:szCs w:val="17"/>
          <w:color w:val="auto"/>
          <w:strike w:val="1"/>
        </w:rPr>
        <w:t>,</w:t>
      </w:r>
      <w:r>
        <w:rPr>
          <w:rFonts w:ascii="Arial" w:cs="Arial" w:eastAsia="Arial" w:hAnsi="Arial"/>
          <w:sz w:val="17"/>
          <w:szCs w:val="17"/>
          <w:color w:val="auto"/>
        </w:rPr>
        <w:t xml:space="preserve"> a variety of types of data privacy legislation. Many non-U.S. jurisdictions have also enacted or are developing laws and regulations governing the collection and use of personal data.</w:t>
      </w:r>
    </w:p>
    <w:p>
      <w:pPr>
        <w:spacing w:after="0" w:line="178" w:lineRule="exact"/>
        <w:rPr>
          <w:sz w:val="20"/>
          <w:szCs w:val="20"/>
          <w:color w:val="auto"/>
        </w:rPr>
      </w:pPr>
    </w:p>
    <w:p>
      <w:pPr>
        <w:jc w:val="both"/>
        <w:ind w:firstLine="441"/>
        <w:spacing w:after="0" w:line="285" w:lineRule="auto"/>
        <w:rPr>
          <w:sz w:val="20"/>
          <w:szCs w:val="20"/>
          <w:color w:val="auto"/>
        </w:rPr>
      </w:pPr>
      <w:r>
        <w:rPr>
          <w:rFonts w:ascii="Arial" w:cs="Arial" w:eastAsia="Arial" w:hAnsi="Arial"/>
          <w:sz w:val="16"/>
          <w:szCs w:val="16"/>
          <w:color w:val="auto"/>
        </w:rPr>
        <w:t>Additionally, U.S. and foreign governments have enacted or are considering enacting legislation that could significantly restrict our ability to collect, augment, analyze, use and share data collected through cookies and similar technologies, such as by regulating the level of consumer notice and consent required before a company can employ cookies or other electronic tools to track people online. In the United States, the FTC has commenced the examination of privacy issues that arise when marketers track consumers across multiple devices, otherwise known as cross-device tracking. In addition to the requirements relating to cookies or similar technologies described in the section “</w:t>
      </w:r>
      <w:r>
        <w:rPr>
          <w:rFonts w:ascii="Arial" w:cs="Arial" w:eastAsia="Arial" w:hAnsi="Arial"/>
          <w:sz w:val="16"/>
          <w:szCs w:val="16"/>
          <w:i w:val="1"/>
          <w:iCs w:val="1"/>
          <w:color w:val="auto"/>
        </w:rPr>
        <w:t>Risk Factors—Risks Relating to Legal or Regulatory Constraints—We</w:t>
      </w:r>
      <w:r>
        <w:rPr>
          <w:rFonts w:ascii="Arial" w:cs="Arial" w:eastAsia="Arial" w:hAnsi="Arial"/>
          <w:sz w:val="16"/>
          <w:szCs w:val="16"/>
          <w:color w:val="auto"/>
        </w:rPr>
        <w:t xml:space="preserve"> </w:t>
      </w:r>
      <w:r>
        <w:rPr>
          <w:rFonts w:ascii="Arial" w:cs="Arial" w:eastAsia="Arial" w:hAnsi="Arial"/>
          <w:sz w:val="16"/>
          <w:szCs w:val="16"/>
          <w:i w:val="1"/>
          <w:iCs w:val="1"/>
          <w:color w:val="auto"/>
        </w:rPr>
        <w:t>are subject to laws and regulations related to data privacy, data protection, and information security, and consumer protection across different markets where we conduct our business, including in the United States, the EEA and the United Kingdom and industry requirements and such laws, regulations, and industry requirements are constantly evolving and changing. Our actual or perceived failure to comply with such laws and regulations could have an adverse effect on our business, results of operations and financial condition</w:t>
      </w:r>
      <w:r>
        <w:rPr>
          <w:rFonts w:ascii="Arial" w:cs="Arial" w:eastAsia="Arial" w:hAnsi="Arial"/>
          <w:sz w:val="16"/>
          <w:szCs w:val="16"/>
          <w:color w:val="auto"/>
        </w:rPr>
        <w:t>”, in the European Union and the United Kingdom, informed consent is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for the placement of a cookie or similar technologies on a user’s device and for direct electronic marketing. The GDPR also imposes conditions on obtaining valid consent, such as a prohibition on pre-checked consents and a requirement to ensure separate consents are sought for each type of cookie or similar technology. Detailed guidance relating to these requirements has been published by the European Data Protection Board (and its predecessor, the Article 29 Working Party) as well as various supervisory authorities in the European Union and the United Kingdom. While not legally binding, such guidance reflects the position and understanding of the regulators and their approach to enforcement. Supervisory authorities in the European Union and the United Kingdom are increasingly focusing on the AdTech industry and its compliance with these requirements. Several high-profile investigations are currently underway, and a number of fines have been issued against businesses for their failure to, amongst other things, properly notify individuals of how their data is being used and to collect informed consent.</w:t>
      </w:r>
    </w:p>
    <w:p>
      <w:pPr>
        <w:spacing w:after="0" w:line="174"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Additionally, our compliance with our privacy policy and our general consumer data privacy and security practices are subject to review by regulatory bodies such as the FTC, which may bring enforcement actions to challenge allegedly unfair and deceptive trade practices, including the violation of privacy policies and representations or material omissions therein.</w:t>
      </w:r>
    </w:p>
    <w:p>
      <w:pPr>
        <w:spacing w:after="0" w:line="184"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Certain State Attorneys General in the United States may also bring enforcement actions based on comparable state laws or federal laws that permit state-level enforcement. In California, for example, the Attorney General may bring enforcement actions for violations of the CCPA, as modified by the Attorney General’s enforcement guidelines. When we receive bid requests that include an opt-out signal, we do not sell personal information, as defined by the CCPA. We have also adopted the DAA CCPA Compliance Framework, which includes a technical specification to identify consumer signals to opt-out of sale of their data, and have signed the IAB Limited Service Provider Agreement that imposes service provider obligations for certain opted-out bid requests. These IAB frameworks are designed to facilitate compliance with the CCPA although the California Attorney General’s office has not yet approved such frameworks. The CCPA sets forth high potential liabilities for data privacy violations on a per-incident basis, and the industry faces an uncertain compliance burden as our partners and publishers work to become compliant with the law. Also, the CPRA, once it takes effect in January 2023, will impose additional data protection obligations on companies doing business in California, including additional consumer rights processes and opt-outs for certain uses of sensitive data and sharing of personal data.</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jc w:val="both"/>
        <w:ind w:firstLine="441"/>
        <w:spacing w:after="0" w:line="286" w:lineRule="auto"/>
        <w:rPr>
          <w:sz w:val="20"/>
          <w:szCs w:val="20"/>
          <w:color w:val="auto"/>
        </w:rPr>
      </w:pPr>
      <w:r>
        <w:rPr>
          <w:rFonts w:ascii="Arial" w:cs="Arial" w:eastAsia="Arial" w:hAnsi="Arial"/>
          <w:sz w:val="17"/>
          <w:szCs w:val="17"/>
          <w:color w:val="auto"/>
        </w:rPr>
        <w:t>Since California enacted the CCPA (and voters passed CPRA), Virginia enacted the Virginia Privacy Act (effective January 1, 2023), Colorado enacted the Colorado Privacy Act (effective July 1, 2023) and Utah enacted the Utah Consumer Privacy Act (effective December 31, 2023). We expect the trend of enacting new and comprehensive privacy legislation to continue not only in the US but also around the globe.</w:t>
      </w:r>
    </w:p>
    <w:p>
      <w:pPr>
        <w:spacing w:after="0" w:line="165" w:lineRule="exact"/>
        <w:rPr>
          <w:sz w:val="20"/>
          <w:szCs w:val="20"/>
          <w:color w:val="auto"/>
        </w:rPr>
      </w:pPr>
    </w:p>
    <w:p>
      <w:pPr>
        <w:jc w:val="both"/>
        <w:ind w:right="20" w:firstLine="441"/>
        <w:spacing w:after="0" w:line="308" w:lineRule="auto"/>
        <w:rPr>
          <w:sz w:val="20"/>
          <w:szCs w:val="20"/>
          <w:color w:val="auto"/>
        </w:rPr>
      </w:pPr>
      <w:r>
        <w:rPr>
          <w:rFonts w:ascii="Arial" w:cs="Arial" w:eastAsia="Arial" w:hAnsi="Arial"/>
          <w:sz w:val="17"/>
          <w:szCs w:val="17"/>
          <w:color w:val="auto"/>
        </w:rPr>
        <w:t>To protect against unlawful content (advertiser and publisher), we include restrictions on content in our terms and conditions. We also manually review the websites of new publisher partners and use third party software to screen impressions we acquire through advertising exchanges.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4.C. ORGANIZATIONAL STRUCTURE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out details of the Company’s significant subsidiaries: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2"/>
              </w:rPr>
              <w:t>Country of</w:t>
            </w:r>
          </w:p>
        </w:tc>
        <w:tc>
          <w:tcPr>
            <w:tcW w:w="2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Ownership</w:t>
            </w:r>
          </w:p>
        </w:tc>
        <w:tc>
          <w:tcPr>
            <w:tcW w:w="700" w:type="dxa"/>
            <w:vAlign w:val="bottom"/>
          </w:tcPr>
          <w:p>
            <w:pPr>
              <w:spacing w:after="0"/>
              <w:rPr>
                <w:sz w:val="18"/>
                <w:szCs w:val="18"/>
                <w:color w:val="auto"/>
              </w:rPr>
            </w:pPr>
          </w:p>
        </w:tc>
      </w:tr>
      <w:tr>
        <w:trPr>
          <w:trHeight w:val="241"/>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Name of company</w:t>
            </w:r>
          </w:p>
        </w:tc>
        <w:tc>
          <w:tcPr>
            <w:tcW w:w="28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3"/>
              </w:rPr>
              <w:t>Incorporation</w:t>
            </w:r>
          </w:p>
        </w:tc>
        <w:tc>
          <w:tcPr>
            <w:tcW w:w="28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Percentage</w:t>
            </w:r>
          </w:p>
        </w:tc>
        <w:tc>
          <w:tcPr>
            <w:tcW w:w="7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Taptica Inc</w:t>
            </w:r>
          </w:p>
        </w:tc>
        <w:tc>
          <w:tcPr>
            <w:tcW w:w="280" w:type="dxa"/>
            <w:vAlign w:val="bottom"/>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USA</w:t>
            </w:r>
          </w:p>
        </w:tc>
        <w:tc>
          <w:tcPr>
            <w:tcW w:w="28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7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Tremor Video Inc</w:t>
            </w:r>
          </w:p>
        </w:tc>
        <w:tc>
          <w:tcPr>
            <w:tcW w:w="2160" w:type="dxa"/>
            <w:vAlign w:val="bottom"/>
            <w:gridSpan w:val="2"/>
          </w:tcPr>
          <w:p>
            <w:pPr>
              <w:ind w:left="280"/>
              <w:spacing w:after="0"/>
              <w:rPr>
                <w:sz w:val="20"/>
                <w:szCs w:val="20"/>
                <w:color w:val="auto"/>
              </w:rPr>
            </w:pPr>
            <w:r>
              <w:rPr>
                <w:rFonts w:ascii="Arial" w:cs="Arial" w:eastAsia="Arial" w:hAnsi="Arial"/>
                <w:sz w:val="18"/>
                <w:szCs w:val="18"/>
                <w:color w:val="auto"/>
              </w:rPr>
              <w:t>USA</w:t>
            </w:r>
          </w:p>
        </w:tc>
        <w:tc>
          <w:tcPr>
            <w:tcW w:w="160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100%</w:t>
            </w: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Adinnovation Inc</w:t>
            </w:r>
          </w:p>
        </w:tc>
        <w:tc>
          <w:tcPr>
            <w:tcW w:w="2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Japan</w:t>
            </w:r>
          </w:p>
        </w:tc>
        <w:tc>
          <w:tcPr>
            <w:tcW w:w="160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1"/>
              </w:rPr>
              <w:t>100%</w:t>
            </w:r>
          </w:p>
        </w:tc>
        <w:tc>
          <w:tcPr>
            <w:tcW w:w="7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Taptica UK</w:t>
            </w:r>
          </w:p>
        </w:tc>
        <w:tc>
          <w:tcPr>
            <w:tcW w:w="2160" w:type="dxa"/>
            <w:vAlign w:val="bottom"/>
            <w:gridSpan w:val="2"/>
          </w:tcPr>
          <w:p>
            <w:pPr>
              <w:ind w:left="280"/>
              <w:spacing w:after="0"/>
              <w:rPr>
                <w:sz w:val="20"/>
                <w:szCs w:val="20"/>
                <w:color w:val="auto"/>
              </w:rPr>
            </w:pPr>
            <w:r>
              <w:rPr>
                <w:rFonts w:ascii="Arial" w:cs="Arial" w:eastAsia="Arial" w:hAnsi="Arial"/>
                <w:sz w:val="18"/>
                <w:szCs w:val="18"/>
                <w:color w:val="auto"/>
              </w:rPr>
              <w:t>United Kingdom</w:t>
            </w:r>
          </w:p>
        </w:tc>
        <w:tc>
          <w:tcPr>
            <w:tcW w:w="160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100%</w:t>
            </w: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Unruly Group US Holding Inc</w:t>
            </w:r>
          </w:p>
        </w:tc>
        <w:tc>
          <w:tcPr>
            <w:tcW w:w="2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USA</w:t>
            </w:r>
          </w:p>
        </w:tc>
        <w:tc>
          <w:tcPr>
            <w:tcW w:w="160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1"/>
              </w:rPr>
              <w:t>100%</w:t>
            </w:r>
          </w:p>
        </w:tc>
        <w:tc>
          <w:tcPr>
            <w:tcW w:w="7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YuMe Inc *</w:t>
            </w:r>
          </w:p>
        </w:tc>
        <w:tc>
          <w:tcPr>
            <w:tcW w:w="2160" w:type="dxa"/>
            <w:vAlign w:val="bottom"/>
            <w:gridSpan w:val="2"/>
          </w:tcPr>
          <w:p>
            <w:pPr>
              <w:ind w:left="280"/>
              <w:spacing w:after="0"/>
              <w:rPr>
                <w:sz w:val="20"/>
                <w:szCs w:val="20"/>
                <w:color w:val="auto"/>
              </w:rPr>
            </w:pPr>
            <w:r>
              <w:rPr>
                <w:rFonts w:ascii="Arial" w:cs="Arial" w:eastAsia="Arial" w:hAnsi="Arial"/>
                <w:sz w:val="18"/>
                <w:szCs w:val="18"/>
                <w:color w:val="auto"/>
              </w:rPr>
              <w:t>USA</w:t>
            </w:r>
          </w:p>
        </w:tc>
        <w:tc>
          <w:tcPr>
            <w:tcW w:w="160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100%</w:t>
            </w: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Perk.com US Inc *</w:t>
            </w:r>
          </w:p>
        </w:tc>
        <w:tc>
          <w:tcPr>
            <w:tcW w:w="2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USA</w:t>
            </w:r>
          </w:p>
        </w:tc>
        <w:tc>
          <w:tcPr>
            <w:tcW w:w="160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1"/>
              </w:rPr>
              <w:t>100%</w:t>
            </w:r>
          </w:p>
        </w:tc>
        <w:tc>
          <w:tcPr>
            <w:tcW w:w="7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R1Demand LLC *</w:t>
            </w:r>
          </w:p>
        </w:tc>
        <w:tc>
          <w:tcPr>
            <w:tcW w:w="2160" w:type="dxa"/>
            <w:vAlign w:val="bottom"/>
            <w:gridSpan w:val="2"/>
          </w:tcPr>
          <w:p>
            <w:pPr>
              <w:ind w:left="280"/>
              <w:spacing w:after="0"/>
              <w:rPr>
                <w:sz w:val="20"/>
                <w:szCs w:val="20"/>
                <w:color w:val="auto"/>
              </w:rPr>
            </w:pPr>
            <w:r>
              <w:rPr>
                <w:rFonts w:ascii="Arial" w:cs="Arial" w:eastAsia="Arial" w:hAnsi="Arial"/>
                <w:sz w:val="18"/>
                <w:szCs w:val="18"/>
                <w:color w:val="auto"/>
              </w:rPr>
              <w:t>USA</w:t>
            </w:r>
          </w:p>
        </w:tc>
        <w:tc>
          <w:tcPr>
            <w:tcW w:w="160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100%</w:t>
            </w: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Unruly Group LLC</w:t>
            </w:r>
          </w:p>
        </w:tc>
        <w:tc>
          <w:tcPr>
            <w:tcW w:w="2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USA</w:t>
            </w:r>
          </w:p>
        </w:tc>
        <w:tc>
          <w:tcPr>
            <w:tcW w:w="160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1"/>
              </w:rPr>
              <w:t>100%</w:t>
            </w:r>
          </w:p>
        </w:tc>
        <w:tc>
          <w:tcPr>
            <w:tcW w:w="7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Unruly Holdings Ltd*</w:t>
            </w:r>
          </w:p>
        </w:tc>
        <w:tc>
          <w:tcPr>
            <w:tcW w:w="2160" w:type="dxa"/>
            <w:vAlign w:val="bottom"/>
            <w:gridSpan w:val="2"/>
          </w:tcPr>
          <w:p>
            <w:pPr>
              <w:ind w:left="280"/>
              <w:spacing w:after="0"/>
              <w:rPr>
                <w:sz w:val="20"/>
                <w:szCs w:val="20"/>
                <w:color w:val="auto"/>
              </w:rPr>
            </w:pPr>
            <w:r>
              <w:rPr>
                <w:rFonts w:ascii="Arial" w:cs="Arial" w:eastAsia="Arial" w:hAnsi="Arial"/>
                <w:sz w:val="18"/>
                <w:szCs w:val="18"/>
                <w:color w:val="auto"/>
              </w:rPr>
              <w:t>UK</w:t>
            </w:r>
          </w:p>
        </w:tc>
        <w:tc>
          <w:tcPr>
            <w:tcW w:w="160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100%</w:t>
            </w: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Unruly Group Ltd</w:t>
            </w:r>
          </w:p>
        </w:tc>
        <w:tc>
          <w:tcPr>
            <w:tcW w:w="2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UK</w:t>
            </w:r>
          </w:p>
        </w:tc>
        <w:tc>
          <w:tcPr>
            <w:tcW w:w="160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1"/>
              </w:rPr>
              <w:t>100%</w:t>
            </w:r>
          </w:p>
        </w:tc>
        <w:tc>
          <w:tcPr>
            <w:tcW w:w="7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Unruly Media GmbH</w:t>
            </w:r>
          </w:p>
        </w:tc>
        <w:tc>
          <w:tcPr>
            <w:tcW w:w="2160" w:type="dxa"/>
            <w:vAlign w:val="bottom"/>
            <w:gridSpan w:val="2"/>
          </w:tcPr>
          <w:p>
            <w:pPr>
              <w:ind w:left="280"/>
              <w:spacing w:after="0"/>
              <w:rPr>
                <w:sz w:val="20"/>
                <w:szCs w:val="20"/>
                <w:color w:val="auto"/>
              </w:rPr>
            </w:pPr>
            <w:r>
              <w:rPr>
                <w:rFonts w:ascii="Arial" w:cs="Arial" w:eastAsia="Arial" w:hAnsi="Arial"/>
                <w:sz w:val="18"/>
                <w:szCs w:val="18"/>
                <w:color w:val="auto"/>
              </w:rPr>
              <w:t>Germany</w:t>
            </w:r>
          </w:p>
        </w:tc>
        <w:tc>
          <w:tcPr>
            <w:tcW w:w="160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100%</w:t>
            </w: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Unruly Media Pte Ltd*</w:t>
            </w:r>
          </w:p>
        </w:tc>
        <w:tc>
          <w:tcPr>
            <w:tcW w:w="2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Singapore</w:t>
            </w:r>
          </w:p>
        </w:tc>
        <w:tc>
          <w:tcPr>
            <w:tcW w:w="160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1"/>
              </w:rPr>
              <w:t>100%</w:t>
            </w:r>
          </w:p>
        </w:tc>
        <w:tc>
          <w:tcPr>
            <w:tcW w:w="7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Unruly Media Pty Ltd</w:t>
            </w:r>
          </w:p>
        </w:tc>
        <w:tc>
          <w:tcPr>
            <w:tcW w:w="2160" w:type="dxa"/>
            <w:vAlign w:val="bottom"/>
            <w:gridSpan w:val="2"/>
          </w:tcPr>
          <w:p>
            <w:pPr>
              <w:ind w:left="280"/>
              <w:spacing w:after="0"/>
              <w:rPr>
                <w:sz w:val="20"/>
                <w:szCs w:val="20"/>
                <w:color w:val="auto"/>
              </w:rPr>
            </w:pPr>
            <w:r>
              <w:rPr>
                <w:rFonts w:ascii="Arial" w:cs="Arial" w:eastAsia="Arial" w:hAnsi="Arial"/>
                <w:sz w:val="18"/>
                <w:szCs w:val="18"/>
                <w:color w:val="auto"/>
              </w:rPr>
              <w:t>Australia</w:t>
            </w:r>
          </w:p>
        </w:tc>
        <w:tc>
          <w:tcPr>
            <w:tcW w:w="160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100%</w:t>
            </w: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Unruly Media KK</w:t>
            </w:r>
          </w:p>
        </w:tc>
        <w:tc>
          <w:tcPr>
            <w:tcW w:w="2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Japan</w:t>
            </w:r>
          </w:p>
        </w:tc>
        <w:tc>
          <w:tcPr>
            <w:tcW w:w="160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1"/>
              </w:rPr>
              <w:t>100%</w:t>
            </w:r>
          </w:p>
        </w:tc>
        <w:tc>
          <w:tcPr>
            <w:tcW w:w="7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SpearAd GmbH</w:t>
            </w:r>
          </w:p>
        </w:tc>
        <w:tc>
          <w:tcPr>
            <w:tcW w:w="2160" w:type="dxa"/>
            <w:vAlign w:val="bottom"/>
            <w:gridSpan w:val="2"/>
          </w:tcPr>
          <w:p>
            <w:pPr>
              <w:ind w:left="280"/>
              <w:spacing w:after="0"/>
              <w:rPr>
                <w:sz w:val="20"/>
                <w:szCs w:val="20"/>
                <w:color w:val="auto"/>
              </w:rPr>
            </w:pPr>
            <w:r>
              <w:rPr>
                <w:rFonts w:ascii="Arial" w:cs="Arial" w:eastAsia="Arial" w:hAnsi="Arial"/>
                <w:sz w:val="18"/>
                <w:szCs w:val="18"/>
                <w:color w:val="auto"/>
              </w:rPr>
              <w:t>Germany</w:t>
            </w:r>
          </w:p>
        </w:tc>
        <w:tc>
          <w:tcPr>
            <w:tcW w:w="160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100%</w:t>
            </w: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Unmedia Video Distribution Sdn Bhd</w:t>
            </w:r>
          </w:p>
        </w:tc>
        <w:tc>
          <w:tcPr>
            <w:tcW w:w="2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Malaysia</w:t>
            </w:r>
          </w:p>
        </w:tc>
        <w:tc>
          <w:tcPr>
            <w:tcW w:w="160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1"/>
              </w:rPr>
              <w:t>100%</w:t>
            </w:r>
          </w:p>
        </w:tc>
        <w:tc>
          <w:tcPr>
            <w:tcW w:w="7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Under these companies, there are twenty-nine (29) wholly owned subsidiaries that are inactive and/or in liquidation process.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4.D. PROPERTY, PLANTS AND EQUIPMENT</w:t>
      </w:r>
    </w:p>
    <w:p>
      <w:pPr>
        <w:spacing w:after="0" w:line="229" w:lineRule="exact"/>
        <w:rPr>
          <w:sz w:val="20"/>
          <w:szCs w:val="20"/>
          <w:color w:val="auto"/>
        </w:rPr>
      </w:pPr>
    </w:p>
    <w:p>
      <w:pPr>
        <w:ind w:right="160" w:firstLine="441"/>
        <w:spacing w:after="0" w:line="301" w:lineRule="auto"/>
        <w:rPr>
          <w:sz w:val="20"/>
          <w:szCs w:val="20"/>
          <w:color w:val="auto"/>
        </w:rPr>
      </w:pPr>
      <w:r>
        <w:rPr>
          <w:rFonts w:ascii="Arial" w:cs="Arial" w:eastAsia="Arial" w:hAnsi="Arial"/>
          <w:sz w:val="16"/>
          <w:szCs w:val="16"/>
          <w:color w:val="auto"/>
        </w:rPr>
        <w:t>Our headquarters are located in Tel Aviv, Israel where we occupy facilities totaling approximately 11,800 square feet under a lease that expires in May 2024. In addition, we have key locations in New York, Los Angeles and Chicago in the United States, as well as international locations in the United Kingdom, Japan, Singapore and Australia. These locations support our key business functions including sales and marketing, customer support, business development, engineering, product development and infrastructure support. We believe that our current facilities are suitable to meet our existing needs.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4.E. UNRESOLVED STAFF COMMENTS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OPERATING AND FINANCIAL REVIEW AND PROSPECTS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Item 4, Information on the Company – 4B. Business Overview” and our audited consolidated financial statements and the related notes thereto appearing at the end of this Annual Report. We present our audited consolidated financial statements in U.S. dollars and in accordance with International Financial Reporting Standards, or IFRS, as issued by the International Accounting Standards Board, or IASB.</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You should carefully review and consider the information regarding our financial condition and results of operations set forth under “Management’s Discussion and Analysis of Financial Condition and Results of Operations” in our Prospectus, dated June 17, 2021, as filed with the Securities and Exchange Commission on June 21, 2021, for an understanding of our results of operations and liquidity discussions and analysis comparing fiscal year 2020 to fiscal year 2019.</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Some information included in this discussion and analysis, including statements regarding industry outlook, our expectations regarding our future performance, liquidity and capital resources and other statements regarding our plans and strategy for our business and related financing, are forward-looking statements. These forward-looking statements are subject to numerous risks and uncertainties. Please see “Special Note About Forward-Looking Statements in this Annual Report. You should read the “Risk Factors” section of this Annual Report for a discussion of important factors that could cause actual results to differ materially from the results described in or implied by the forward-looking statements contained in the following discussion and analysis.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We maintain our books in US Dollars (“USD”), which is the Company’s functional currency, and have been rounded to the nearest thousands, except when otherwise indicated. The USD is the currency that represents the principal economic environment in which the Company operates, and we prepare our financial statements in accordance with IFRS as issued by the IASB.</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5.A.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global company offering an end-to-end software platform that enables advertisers to reach relevant audiences and publishers to maximize yield on their digital advertising inventory. We use our proprietary technology to deliver impactful brand stories to target audiences through digital ad technology and advanced audience data. Our omni-channel capabilities deliver global advertising campaigns across all formats and channels, with an expertise in Video and CTV.</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there is a significant market opportunity within the approximately $492 billion global digital advertising market that is expected to grow at a CAGR of 12% through 2025, according to eMarketer. Digital publishers rely on advertising to support their businesses and brands, and advertisers use this medium to capture uniquely targeted and viewable impressions. We believe the digital advertising market remains fragmented and that our full service end-to-end software platform and vast expertise within Video and CTV puts us in a strong position to continue to increase our market share from traditional ad sales channels.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both"/>
        <w:ind w:firstLine="648"/>
        <w:spacing w:after="0" w:line="269" w:lineRule="auto"/>
        <w:rPr>
          <w:sz w:val="20"/>
          <w:szCs w:val="20"/>
          <w:color w:val="auto"/>
        </w:rPr>
      </w:pPr>
      <w:r>
        <w:rPr>
          <w:rFonts w:ascii="Arial" w:cs="Arial" w:eastAsia="Arial" w:hAnsi="Arial"/>
          <w:sz w:val="17"/>
          <w:szCs w:val="17"/>
          <w:color w:val="auto"/>
        </w:rPr>
        <w:t>We believe that we are positioned to benefit from several trends in the evolving advertising ecosystem, including the proliferation of digital media consumption, adoption of programmatic advertising, a growing focus on premium formats such as Video and CTV, and the increasing sophistication of the overall digital landscape. We address the broad and evolving digital advertising market through our three core offerings, including a proprietary DSP solution that advertisers leverage to manage digital advertising campaigns, a proprietary SSP solution that publishers leverage to optimally monetize digital inventory and a proprietary DMP solution which is integrated with both our DSP and SSP solutions. Our versatile DMP solution benefits from vast amounts of data and provides optimal campaign recommendations for audience sets by employing advanced machine learning algorithms. The contextualization of the data synthesized by our DMP solution provides our advertisers with a comprehensive, personalized view of audiences, enabling more effective targeting across formats and devices and optimizes the monetization of publisher inventory. By combining these three proprietary solutions as well as integrations with industry leading partners, we provide an end-to-end software platform that is dynamic and flexible to our customers’ needs, which enables us to address more digital ad spend.</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customers are both ad buyers, including brands and agencies, and digital publishers. Our platform included a diversified customer base of approximately 800 active customers and 1,600 active publishers as of December 31, 2021 with approximately 2 billion unique users for the month ended December 31, 2021, which serves advertisements in 140 countries.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generate revenue through platform fees that are tailored to fit the customer’s specific utilization of our solutions and include (i) a percentage of spend, (ii) flat fees and (iii) fixed CPM.</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Recently, the economic health of advertisers has been impacted by the COVID-19 pandemic and the resulting economic uncertainty in the United States and global economy beginning in the first half of 2020 and continuing in 2021, and as a result advertising demand on our platform decreased in the first half of 2020, with recovery in the second half of 2020 through 2021, although some verticals have still not recovered. Many advertisers also suffered and continue to do so as a result of supply chain constraints which materially impacted certain verticals. Many marketing budgets, particularly those hardest hit by the pandemic such as travel, retail and hospitality, and those impacted by supply chain constraints such as automotive, decreased or paused their advertising spending as a response to the economic uncertainty, decline in business activity and other COVID-19 related impacts which have, and may continue to have, a negative impact on our revenue and results of operations The advertising industry was significantly impacted at the end of first quarter and throughout the second quarter of 2020 by the outbreak of the COVID-19 pandemic and the resulting economic uncertainty in the global economy, including in the United States (where the majority of our revenue is generated). As a result, advertising demand on our platform decreased significantly in the first half of 2020, as economic activity across most markets contracted and marketing budgets were reduced. However, as parts of the economy reopened at the end of the second quarter of 2020 into 2021, the advertising industry and related spend responded with a strong recovery in the second half of 2020 into 2021. Although certain industries, such as travel, retail, hospitality, and verticals impacted by supply chain constraints, continued to limit advertising spending over this period, other industries drove growth in advertising spending, particularly in Video (including CTV).</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Video revenue grew from $143.4 million in the year ended December 31, 2020 to $242.7 million in the year ended December 31, 2021. Our Video revenue growth included the rapid growth of CTV revenue over the same period, which grew from $36.8 million in the year ended December 31, 2020 to $80.3 million in the year ended December 31, 2021. This growth of Video (including CTV) revenue contributed to growth in Programmatic revenue of 65% for the year ended December 31, 2021 from the year ended December 31, 2020.</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total comprehensive income for the year ended December 31, 2020 increased $65.6 million from the equivalent figure for the year ended December 31, 2021 and represented a 1,319% year-over-year increase. We generated $70.6 million and $5.0 million in total comprehensive income in the years ended December 31, 2021 and 2020, respectively. Our Adjusted EBITDA for the year ended December 31, 2021 increased by $100.7 million from the equivalent figure for the year ended December 31, 2020 and represented a 166% year-over-year increase, resulting in a cash position of $367.7 million as of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Tremor International is a collection of brands uniting creativity, data and technology across the open internet. Our end-to-end, video-first platform facilitates and optimizes engaging advertising campaigns for brands, media groups and content creators worldwide — enabling powerful partnerships and delivering meaningful results. A leader in Connected TV and video, Tremor International’s footprint is expanding across the industry’s fastest-growing segments, driven by a global team of seasoned technologists and digital natives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jc w:val="both"/>
        <w:ind w:firstLine="648"/>
        <w:spacing w:after="0" w:line="301" w:lineRule="auto"/>
        <w:rPr>
          <w:sz w:val="20"/>
          <w:szCs w:val="20"/>
          <w:color w:val="auto"/>
        </w:rPr>
      </w:pPr>
      <w:r>
        <w:rPr>
          <w:rFonts w:ascii="Arial" w:cs="Arial" w:eastAsia="Arial" w:hAnsi="Arial"/>
          <w:sz w:val="16"/>
          <w:szCs w:val="16"/>
          <w:color w:val="auto"/>
        </w:rPr>
        <w:t>Our end-to-end platform is a comprehensive software suite that supports a wide range of media types (e.g., Video, display, etc.) and devices (e.g., mobile, CTVs, streaming devices, desktop, etc.), creating an efficient marketplace where advertisers are able to purchase high quality advertising inventory from publishers at scale. Our solutions offer many advantages, including an advanced real-time bidding auction optimization engine, a quality and global marketplace, and flexibility to enact concurrent campaign strategies that drives strong returns for investments in digital ad real estate</w:t>
      </w:r>
    </w:p>
    <w:p>
      <w:pPr>
        <w:spacing w:after="0" w:line="15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platform handles over 100 billion daily ad requests, approximately 500 terabytes of daily data and approximately 340 million daily ad impressions. Each transaction is processed in a fraction of a second (55ms on average) and powered by our real-time bidding engine, which leverages thousands of private servers and infrastructure in three strategically located data centers located in the United States, Europe and Asia Pacific.</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Key Components of our platform include:</w:t>
      </w:r>
    </w:p>
    <w:p>
      <w:pPr>
        <w:spacing w:after="0" w:line="225" w:lineRule="exact"/>
        <w:rPr>
          <w:sz w:val="20"/>
          <w:szCs w:val="20"/>
          <w:color w:val="auto"/>
        </w:rPr>
      </w:pPr>
    </w:p>
    <w:p>
      <w:pPr>
        <w:jc w:val="both"/>
        <w:ind w:left="940" w:hanging="338"/>
        <w:spacing w:after="0" w:line="259" w:lineRule="auto"/>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Demand Side Platform – </w:t>
      </w:r>
      <w:r>
        <w:rPr>
          <w:rFonts w:ascii="Arial" w:cs="Arial" w:eastAsia="Arial" w:hAnsi="Arial"/>
          <w:sz w:val="18"/>
          <w:szCs w:val="18"/>
          <w:color w:val="auto"/>
        </w:rPr>
        <w:t>We offer a self-service DSP solution for advertisers and their agencies to efficiently and intuitively manage omni-channel campaigns. We also offer a full-service option to agencies in addition to our self-service DSP solution. Our DSP solution provides access to wide reaching and high quality inventory, audience targeting and advanced reporting to optimize advertising campaigns, improve ROI and gain deep insights and analytics into brand engagement.</w:t>
      </w:r>
    </w:p>
    <w:p>
      <w:pPr>
        <w:spacing w:after="0" w:line="186" w:lineRule="exact"/>
        <w:rPr>
          <w:rFonts w:ascii="Arial" w:cs="Arial" w:eastAsia="Arial" w:hAnsi="Arial"/>
          <w:sz w:val="18"/>
          <w:szCs w:val="18"/>
          <w:color w:val="auto"/>
        </w:rPr>
      </w:pPr>
    </w:p>
    <w:p>
      <w:pPr>
        <w:jc w:val="both"/>
        <w:ind w:left="940" w:hanging="338"/>
        <w:spacing w:after="0" w:line="296" w:lineRule="auto"/>
        <w:tabs>
          <w:tab w:leader="none" w:pos="94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Data Management Platform </w:t>
      </w:r>
      <w:r>
        <w:rPr>
          <w:rFonts w:ascii="Arial" w:cs="Arial" w:eastAsia="Arial" w:hAnsi="Arial"/>
          <w:sz w:val="16"/>
          <w:szCs w:val="16"/>
          <w:color w:val="auto"/>
        </w:rPr>
        <w:t>– We offer a fully integrated DMP solution that sits at the center of our platform that unlocks the power of data</w:t>
      </w:r>
      <w:r>
        <w:rPr>
          <w:rFonts w:ascii="Arial" w:cs="Arial" w:eastAsia="Arial" w:hAnsi="Arial"/>
          <w:sz w:val="16"/>
          <w:szCs w:val="16"/>
          <w:i w:val="1"/>
          <w:iCs w:val="1"/>
          <w:color w:val="auto"/>
        </w:rPr>
        <w:t xml:space="preserve"> </w:t>
      </w:r>
      <w:r>
        <w:rPr>
          <w:rFonts w:ascii="Arial" w:cs="Arial" w:eastAsia="Arial" w:hAnsi="Arial"/>
          <w:sz w:val="16"/>
          <w:szCs w:val="16"/>
          <w:color w:val="auto"/>
        </w:rPr>
        <w:t>flowing through our DSP and SSP solutions. Our DMP enables advertisers and publishers to use data from various sources in order to optimize results of their advertising campaigns. Our DMP provides insights and recommendations pertaining to geographic, behavioral and demographic data, among others in one unified solution. We believe an integrated DMP is a key component to the marketplace because it enables advertisers and publishers to use and activate data to target audiences with more accuracy across a number of different channels.</w:t>
      </w:r>
    </w:p>
    <w:p>
      <w:pPr>
        <w:spacing w:after="0" w:line="161" w:lineRule="exact"/>
        <w:rPr>
          <w:rFonts w:ascii="Arial" w:cs="Arial" w:eastAsia="Arial" w:hAnsi="Arial"/>
          <w:sz w:val="16"/>
          <w:szCs w:val="16"/>
          <w:color w:val="auto"/>
        </w:rPr>
      </w:pPr>
    </w:p>
    <w:p>
      <w:pPr>
        <w:jc w:val="both"/>
        <w:ind w:left="940" w:hanging="338"/>
        <w:spacing w:after="0" w:line="286" w:lineRule="auto"/>
        <w:tabs>
          <w:tab w:leader="none" w:pos="94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Supply Side Platform </w:t>
      </w:r>
      <w:r>
        <w:rPr>
          <w:rFonts w:ascii="Arial" w:cs="Arial" w:eastAsia="Arial" w:hAnsi="Arial"/>
          <w:sz w:val="17"/>
          <w:szCs w:val="17"/>
          <w:color w:val="auto"/>
        </w:rPr>
        <w:t>– We offer a self-service SSP solution for digital publishers to sell their online ad placements via a real-time bidding</w:t>
      </w:r>
      <w:r>
        <w:rPr>
          <w:rFonts w:ascii="Arial" w:cs="Arial" w:eastAsia="Arial" w:hAnsi="Arial"/>
          <w:sz w:val="17"/>
          <w:szCs w:val="17"/>
          <w:i w:val="1"/>
          <w:iCs w:val="1"/>
          <w:color w:val="auto"/>
        </w:rPr>
        <w:t xml:space="preserve"> </w:t>
      </w:r>
      <w:r>
        <w:rPr>
          <w:rFonts w:ascii="Arial" w:cs="Arial" w:eastAsia="Arial" w:hAnsi="Arial"/>
          <w:sz w:val="17"/>
          <w:szCs w:val="17"/>
          <w:color w:val="auto"/>
        </w:rPr>
        <w:t>auction across all screens including mobile, CTVs, streaming devices and desktops. Our SSP provides access to significant amounts of data, unique demand and a comprehensive product suite to drive more effective inventory management and revenue optimization.</w:t>
      </w:r>
    </w:p>
    <w:p>
      <w:pPr>
        <w:spacing w:after="0" w:line="165" w:lineRule="exact"/>
        <w:rPr>
          <w:rFonts w:ascii="Arial" w:cs="Arial" w:eastAsia="Arial" w:hAnsi="Arial"/>
          <w:sz w:val="17"/>
          <w:szCs w:val="17"/>
          <w:color w:val="auto"/>
        </w:rPr>
      </w:pPr>
    </w:p>
    <w:p>
      <w:pPr>
        <w:jc w:val="both"/>
        <w:ind w:left="940" w:hanging="338"/>
        <w:spacing w:after="0" w:line="311" w:lineRule="auto"/>
        <w:tabs>
          <w:tab w:leader="none" w:pos="94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Analytics/Artificial Intelligence </w:t>
      </w:r>
      <w:r>
        <w:rPr>
          <w:rFonts w:ascii="Arial" w:cs="Arial" w:eastAsia="Arial" w:hAnsi="Arial"/>
          <w:sz w:val="16"/>
          <w:szCs w:val="16"/>
          <w:color w:val="auto"/>
        </w:rPr>
        <w:t>– We collect, synthesize and analyze the data sets across our platform through extensive artificial intelligence</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technologies and advanced machine learning capabilities. These recommendations ultimately provide key insights into valuable ad impressions and forecasts for auction behavior. We believe these technologies drive optimal results for our advertisers and publishers.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our results of operations is influenced by several factors, including the following: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Attract, Retain and Grow our Customer Base</w:t>
      </w:r>
      <w:r>
        <w:rPr>
          <w:rFonts w:ascii="Arial" w:cs="Arial" w:eastAsia="Arial" w:hAnsi="Arial"/>
          <w:sz w:val="18"/>
          <w:szCs w:val="18"/>
          <w:color w:val="auto"/>
        </w:rPr>
        <w:t>: Our recent growth has been driven by expanding the usage of our platform by our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advertisers and publishers as well as by adding new advertisers and publishers. As a result, our revenue growth depends upon our ability to retain our existing advertisers and publishers and to capture a larger amount of their advertising spend through our platform.</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jc w:val="both"/>
        <w:ind w:firstLine="648"/>
        <w:spacing w:after="0" w:line="272" w:lineRule="auto"/>
        <w:rPr>
          <w:sz w:val="20"/>
          <w:szCs w:val="20"/>
          <w:color w:val="auto"/>
        </w:rPr>
      </w:pPr>
      <w:r>
        <w:rPr>
          <w:rFonts w:ascii="Arial" w:cs="Arial" w:eastAsia="Arial" w:hAnsi="Arial"/>
          <w:sz w:val="17"/>
          <w:szCs w:val="17"/>
          <w:color w:val="auto"/>
        </w:rPr>
        <w:t>For the year ended December 31, 2021, we achieved gross profit per active customer (calculated as our gross profit for the period divided by our active customers for the period) of $332 thousand and Contribution ex-TAC per active customer (calculated as our Contribution ex-TAC for the period divided by our active customers for the period) of $395 thousand. In comparison, for the year ended December 31, 2020, we achieved gross profit per active customer of $149 thousand and Contribution ex-TAC per active customer of $207 thousand. During the year ended December 31, 2021, we continued to add active customers to the platform and the Contribution ex-TAC per active customer increased, however, the overall number of active customers during the period decreased due to a reduction by the Company of less profitable advertisers as part of our larger efforts to optimize operational efficiency in the platform which also included the disposition or sunsetting of non-core immaterial activities.</w:t>
      </w:r>
    </w:p>
    <w:p>
      <w:pPr>
        <w:spacing w:after="0" w:line="17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continue to add functionality to our platform to encourage existing advertisers or publishers to increase their usage of our platform. As a result of this and other similar engagement initiatives, we achieved a Contribution ex-TAC retention rate of 150% for the year ended December 31, 2021.</w:t>
      </w:r>
    </w:p>
    <w:p>
      <w:pPr>
        <w:spacing w:after="0" w:line="1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Investment in Growth</w:t>
      </w:r>
      <w:r>
        <w:rPr>
          <w:rFonts w:ascii="Arial" w:cs="Arial" w:eastAsia="Arial" w:hAnsi="Arial"/>
          <w:sz w:val="17"/>
          <w:szCs w:val="17"/>
          <w:color w:val="auto"/>
        </w:rPr>
        <w:t>: We believe that the advertising market is in the early stages of a secular shift towards digital video advertising. We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been specializing in digital video advertising, which collectively accounts for 91% of our Programmatic revenue for the year ended December 31, 2021 and 89% of our Programmatic revenue for the year ended 31, 2020. We plan to invest in long-term growth by focusing on the main drivers of digital advertising growth – Video and CTV. We anticipate that our operating expenses will increase in the foreseeable future as we invest in platform operations and technology and development to enhance our product capabilities including acquisitions (such as Spearad) deployment of more self-serve capabilities both to our advertisers and publishers, expediting and expanding data relationships and technology (such as our partnership with VIDAA), and adding more ad formats to our platform (e.g., audio, display, etc.). We believe that these investments will contribute to our long-term growth, although it is uncertain whether they may impact our profitability in the near-term.</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Growth of the Digital Advertising Market and Macroeconomics Factors</w:t>
      </w:r>
      <w:r>
        <w:rPr>
          <w:rFonts w:ascii="Arial" w:cs="Arial" w:eastAsia="Arial" w:hAnsi="Arial"/>
          <w:sz w:val="17"/>
          <w:szCs w:val="17"/>
          <w:color w:val="auto"/>
        </w:rPr>
        <w:t>: We expect to continue to benefit from overall adoption of digital video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advertising by both advertisers and publishers. Any material change in the growth rate of digital video advertising or the rate of adoption could affect our performance. Recent trends have indicated that advertising spend is closely tied to advertisers’ financial performance and economic conditions, either generally or in one or more of the industries in which our advertisers operate or our publishers focus. An economic downturn could adversely impact the digital advertising market and our operating results. For example, the challenges posed by the COVID-19 pandemic on the global economy increased significantly throughout 2020 and 2021. In response to COVID-19, national and local governments around the world instituted certain measures, including travel bans, prohibitions on group events and gatherings, shutdowns of certain businesses, curfews, shelter-in-place orders and recommendations to practice social distancing. Certain marketers in industries such as travel and tourism, hospitality and automotive, decreased or paused their advertising spend as a response to the economic uncertainty.</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the overall economic environment improved during the second half of 2020 and throughout 2021, our Video revenue and CTV revenue grew from $143.4 million and $36.8 million, respectively, for the year ended December 31, 2020 to $242.7 million and $80.3 million, respectively, for the year ended December 31, 2021. This growth of Video (including CTV) contributed to growth in Programmatic revenue of 65% for the year ended December 31, 2021.</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the economic uncertainty caused by the COVID-19 pandemic has made and may continue to make it difficult for us to forecast revenue and operating results and to make decisions regarding operational cost structures and investments. The ultimate impact of COVID-19 on the Company’s results of operations, financial condition and cash flows is dependent on future developments, including the duration of the COVID-19 pandemic and its impact on the global economy, which are uncertain and cannot be predicted at this time. For further discussion of the potential impacts of the COVID-19 pandemic on our business, see “</w:t>
      </w:r>
      <w:r>
        <w:rPr>
          <w:rFonts w:ascii="Arial" w:cs="Arial" w:eastAsia="Arial" w:hAnsi="Arial"/>
          <w:sz w:val="17"/>
          <w:szCs w:val="17"/>
          <w:i w:val="1"/>
          <w:iCs w:val="1"/>
          <w:color w:val="auto"/>
        </w:rPr>
        <w:t>Risk Factors— Our revenue and results of operations are highly dependent on the overall demand for</w:t>
      </w:r>
      <w:r>
        <w:rPr>
          <w:rFonts w:ascii="Arial" w:cs="Arial" w:eastAsia="Arial" w:hAnsi="Arial"/>
          <w:sz w:val="17"/>
          <w:szCs w:val="17"/>
          <w:color w:val="auto"/>
        </w:rPr>
        <w:t xml:space="preserve"> </w:t>
      </w:r>
      <w:r>
        <w:rPr>
          <w:rFonts w:ascii="Arial" w:cs="Arial" w:eastAsia="Arial" w:hAnsi="Arial"/>
          <w:sz w:val="17"/>
          <w:szCs w:val="17"/>
          <w:i w:val="1"/>
          <w:iCs w:val="1"/>
          <w:color w:val="auto"/>
        </w:rPr>
        <w:t>advertising. Factors that affect the amount of advertising spending, such as economic downturns, inflation, supply constraints and the COVID-19 pandemic, can make it difficult to predict our revenue and could adversely affect our business, results of operations and financial condition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Seasonality</w:t>
      </w:r>
      <w:r>
        <w:rPr>
          <w:rFonts w:ascii="Arial" w:cs="Arial" w:eastAsia="Arial" w:hAnsi="Arial"/>
          <w:sz w:val="16"/>
          <w:szCs w:val="16"/>
          <w:color w:val="auto"/>
        </w:rPr>
        <w:t>: In the advertising industry, companies commonly experience seasonal fluctuations in revenue. For example, many marketers allocate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largest portion of their budgets to the fourth quarter of the calendar year in order to coincide with increased holiday purchasing. Historically, the fourth quarter of the year has reflected our highest level of advertising activity for the year. We generally expect the subsequent first quarter to reflect lower activity levels. In addition, historical seasonality may not be predictive of future results given the potential for changes in advertising buying patterns and consumer activity due to the COVID-19 pandemic. Nevertheless, as countries recover from the COVID-19 pandemic and return to pre-pandemic business conditions, we expect our revenue to continue to fluctuate based on seasonal factors that affect the advertising industry as a whole.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Our revenue is generated from transactions where we provide a platform for the purchase and sale of digital adverting inventory.</w:t>
      </w:r>
      <w:r>
        <w:rPr>
          <w:rFonts w:ascii="Arial" w:cs="Arial" w:eastAsia="Arial" w:hAnsi="Arial"/>
          <w:sz w:val="18"/>
          <w:szCs w:val="18"/>
          <w:i w:val="1"/>
          <w:iCs w:val="1"/>
          <w:color w:val="auto"/>
        </w:rPr>
        <w:t xml:space="preserve"> </w:t>
      </w:r>
      <w:r>
        <w:rPr>
          <w:rFonts w:ascii="Arial" w:cs="Arial" w:eastAsia="Arial" w:hAnsi="Arial"/>
          <w:sz w:val="18"/>
          <w:szCs w:val="18"/>
          <w:color w:val="auto"/>
        </w:rPr>
        <w:t>Our end-to-end platform is a comprehensive software suite that supports a wide range of media types (e.g., Video, display, etc.) and devices (e.g., mobile, CTVs, streaming devices, desktop, etc.), creating an efficient marketplace where advertisers (buyers) are able to purchase high quality advertising inventory from publishers (sellers) at scale.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generate revenue through fees that we charge, based on customer type, to utilize our solutions and services and upon usage and delivery.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Often, advertisers use our DSP solution to access our DMP for optimizing media buys from our SSP solution.</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January 1, 2020, we present revenue on a net basis for the Programmatic activity, which had been recognized on a gross basis historically, including for the year ended December 31, 2019. See “</w:t>
      </w:r>
      <w:r>
        <w:rPr>
          <w:rFonts w:ascii="Arial" w:cs="Arial" w:eastAsia="Arial" w:hAnsi="Arial"/>
          <w:sz w:val="18"/>
          <w:szCs w:val="18"/>
          <w:i w:val="1"/>
          <w:iCs w:val="1"/>
          <w:color w:val="auto"/>
        </w:rPr>
        <w:t>—Critical Accounting Policies, Judgments and Estimates—Revenue Recognition</w:t>
      </w:r>
      <w:r>
        <w:rPr>
          <w:rFonts w:ascii="Arial" w:cs="Arial" w:eastAsia="Arial" w:hAnsi="Arial"/>
          <w:sz w:val="18"/>
          <w:szCs w:val="18"/>
          <w:color w:val="auto"/>
        </w:rPr>
        <w:t>” for information regarding the revenue recognition presentation change. Our Performance revenue is recognized on a gross basis for the years ended December 31, 2021, 2020 and 2019.</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Cost of revenues (exclusive of depreciation and amortization)</w:t>
      </w:r>
      <w:r>
        <w:rPr>
          <w:rFonts w:ascii="Arial" w:cs="Arial" w:eastAsia="Arial" w:hAnsi="Arial"/>
          <w:sz w:val="16"/>
          <w:szCs w:val="16"/>
          <w:color w:val="auto"/>
        </w:rPr>
        <w:t>. Cost of revenues (exclusive of depreciation and amortization) primarily consists of</w:t>
      </w:r>
      <w:r>
        <w:rPr>
          <w:rFonts w:ascii="Arial" w:cs="Arial" w:eastAsia="Arial" w:hAnsi="Arial"/>
          <w:sz w:val="16"/>
          <w:szCs w:val="16"/>
          <w:i w:val="1"/>
          <w:iCs w:val="1"/>
          <w:color w:val="auto"/>
        </w:rPr>
        <w:t xml:space="preserve"> </w:t>
      </w:r>
      <w:r>
        <w:rPr>
          <w:rFonts w:ascii="Arial" w:cs="Arial" w:eastAsia="Arial" w:hAnsi="Arial"/>
          <w:sz w:val="16"/>
          <w:szCs w:val="16"/>
          <w:color w:val="auto"/>
        </w:rPr>
        <w:t>hosting fees and data costs for both Programmatic and Performance activities, as well as media costs for Performance activities that are directly attributable to revenue generated by the Company and based on the revenue share arrangements with audience and content partners. Our cost of revenues (exclusive of depreciation and amortization) for the years ended December 31, 2021, 2020 and 2019 are not directly comparable as a result of the revenue recognition presentation change. Effective January 1, 2020, we no longer include the costs of acquiring publishers’ advertising space that is purchased by advertisers via our Programmatic end-to-end solution in our cost of revenue, which is consistent with our change in revenue recognition. See “</w:t>
      </w:r>
      <w:r>
        <w:rPr>
          <w:rFonts w:ascii="Arial" w:cs="Arial" w:eastAsia="Arial" w:hAnsi="Arial"/>
          <w:sz w:val="16"/>
          <w:szCs w:val="16"/>
          <w:i w:val="1"/>
          <w:iCs w:val="1"/>
          <w:color w:val="auto"/>
        </w:rPr>
        <w:t>—Critical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Policies, Judgments and Estimates—Revenue Recognition</w:t>
      </w:r>
      <w:r>
        <w:rPr>
          <w:rFonts w:ascii="Arial" w:cs="Arial" w:eastAsia="Arial" w:hAnsi="Arial"/>
          <w:sz w:val="16"/>
          <w:szCs w:val="16"/>
          <w:color w:val="auto"/>
        </w:rPr>
        <w:t>” for information regarding the revenue recognition presentation change.</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Research and development expenses consist primarily of compensation and related costs for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responsible for the research and development of new and existing products and services. Where required, development expenditures are capitalized in accordance with the Company’s standard internal capitalized development policy in accordance with IAS 38. All research costs are expensed when incurred.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Selling and marketing expenses</w:t>
      </w:r>
      <w:r>
        <w:rPr>
          <w:rFonts w:ascii="Arial" w:cs="Arial" w:eastAsia="Arial" w:hAnsi="Arial"/>
          <w:sz w:val="18"/>
          <w:szCs w:val="18"/>
          <w:color w:val="auto"/>
        </w:rPr>
        <w:t>. Selling and marketing expenses primarily consist of compensation and related costs for personnel engaged in</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service, sales and sales support functions, as well as advertising and promotional expenditures.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primarily consist of compensation and related costs for personnel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costs related to the Company’s facilities, finance, human resources, information technology, legal organizations and fees for professional services. Professional services are principally comprised of external legal, information technology consulting and outsourcing services that are not directly related to other operational expenses.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jc w:val="both"/>
        <w:ind w:right="20" w:firstLine="648"/>
        <w:spacing w:after="0" w:line="277"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primarily consist of depreciation of fixed assets and amortization of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as well as depreciation and amortization of right of use assets and provision for impairment.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income</w:t>
      </w:r>
      <w:r>
        <w:rPr>
          <w:rFonts w:ascii="Arial" w:cs="Arial" w:eastAsia="Arial" w:hAnsi="Arial"/>
          <w:sz w:val="18"/>
          <w:szCs w:val="18"/>
          <w:color w:val="auto"/>
        </w:rPr>
        <w:t>. Financing income primarily consists of foreign currency gains and interest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expense</w:t>
      </w:r>
      <w:r>
        <w:rPr>
          <w:rFonts w:ascii="Arial" w:cs="Arial" w:eastAsia="Arial" w:hAnsi="Arial"/>
          <w:sz w:val="18"/>
          <w:szCs w:val="18"/>
          <w:color w:val="auto"/>
        </w:rPr>
        <w:t>. Financing expense primarily includes exchange rate differences, interest and bank fees and other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 Other income (expense) includes gain on sale of business unit offset by a settlement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Taxation</w:t>
      </w:r>
      <w:r>
        <w:rPr>
          <w:rFonts w:ascii="Arial" w:cs="Arial" w:eastAsia="Arial" w:hAnsi="Arial"/>
          <w:sz w:val="18"/>
          <w:szCs w:val="18"/>
          <w:color w:val="auto"/>
        </w:rPr>
        <w:t>. Taxation consists primarily of income taxes related to the jurisdictions in which we conduct business. Our effective tax rate is affected</w:t>
      </w:r>
      <w:r>
        <w:rPr>
          <w:rFonts w:ascii="Arial" w:cs="Arial" w:eastAsia="Arial" w:hAnsi="Arial"/>
          <w:sz w:val="18"/>
          <w:szCs w:val="18"/>
          <w:i w:val="1"/>
          <w:iCs w:val="1"/>
          <w:color w:val="auto"/>
        </w:rPr>
        <w:t xml:space="preserve"> </w:t>
      </w:r>
      <w:r>
        <w:rPr>
          <w:rFonts w:ascii="Arial" w:cs="Arial" w:eastAsia="Arial" w:hAnsi="Arial"/>
          <w:sz w:val="18"/>
          <w:szCs w:val="18"/>
          <w:color w:val="auto"/>
        </w:rPr>
        <w:t>by non-deductible expenses net of tax exempt income, utilization of tax losses from prior years for which deferred taxes is recognized, effect on deferred taxes at a rate different from the primary tax rate, effect of reduced tax rate on preferred income and differences in previous tax assessments. As of December 31, 2021, we have tax loss carry forwards from US in the amount of $79.4 million and other international jurisdictions in the amount of $16.6 million and no tax loss carry forwards for Israeli tax purposes.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results of operations in U.S. dollars and as a percentage of revenue for the years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4"/>
          </w:tcPr>
          <w:p>
            <w:pPr>
              <w:jc w:val="right"/>
              <w:ind w:right="102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Pr>
          <w:p>
            <w:pPr>
              <w:spacing w:after="0"/>
              <w:rPr>
                <w:sz w:val="17"/>
                <w:szCs w:val="17"/>
                <w:color w:val="auto"/>
              </w:rPr>
            </w:pPr>
          </w:p>
        </w:tc>
        <w:tc>
          <w:tcPr>
            <w:tcW w:w="2600" w:type="dxa"/>
            <w:vAlign w:val="bottom"/>
            <w:gridSpan w:val="4"/>
          </w:tcPr>
          <w:p>
            <w:pPr>
              <w:jc w:val="right"/>
              <w:ind w:right="102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Pr>
          <w:p>
            <w:pPr>
              <w:spacing w:after="0"/>
              <w:rPr>
                <w:sz w:val="17"/>
                <w:szCs w:val="17"/>
                <w:color w:val="auto"/>
              </w:rPr>
            </w:pPr>
          </w:p>
        </w:tc>
        <w:tc>
          <w:tcPr>
            <w:tcW w:w="250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Year Ended</w:t>
            </w:r>
          </w:p>
        </w:tc>
      </w:tr>
      <w:tr>
        <w:trPr>
          <w:trHeight w:val="251"/>
        </w:trPr>
        <w:tc>
          <w:tcPr>
            <w:tcW w:w="3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gridSpan w:val="4"/>
          </w:tcPr>
          <w:p>
            <w:pPr>
              <w:jc w:val="right"/>
              <w:ind w:right="660"/>
              <w:spacing w:after="0" w:line="243" w:lineRule="exact"/>
              <w:rPr>
                <w:sz w:val="20"/>
                <w:szCs w:val="20"/>
                <w:color w:val="auto"/>
              </w:rPr>
            </w:pPr>
            <w:r>
              <w:rPr>
                <w:rFonts w:ascii="Arial" w:cs="Arial" w:eastAsia="Arial" w:hAnsi="Arial"/>
                <w:sz w:val="17"/>
                <w:szCs w:val="17"/>
                <w:b w:val="1"/>
                <w:bCs w:val="1"/>
                <w:color w:val="auto"/>
              </w:rPr>
              <w:t>December 31, 2019</w:t>
            </w:r>
            <w:r>
              <w:rPr>
                <w:rFonts w:ascii="Arial" w:cs="Arial" w:eastAsia="Arial" w:hAnsi="Arial"/>
                <w:sz w:val="28"/>
                <w:szCs w:val="28"/>
                <w:b w:val="1"/>
                <w:bCs w:val="1"/>
                <w:color w:val="auto"/>
                <w:vertAlign w:val="superscript"/>
              </w:rPr>
              <w:t>(1)</w:t>
            </w:r>
          </w:p>
        </w:tc>
        <w:tc>
          <w:tcPr>
            <w:tcW w:w="100" w:type="dxa"/>
            <w:vAlign w:val="bottom"/>
          </w:tcPr>
          <w:p>
            <w:pPr>
              <w:spacing w:after="0"/>
              <w:rPr>
                <w:sz w:val="21"/>
                <w:szCs w:val="21"/>
                <w:color w:val="auto"/>
              </w:rPr>
            </w:pPr>
          </w:p>
        </w:tc>
        <w:tc>
          <w:tcPr>
            <w:tcW w:w="260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tcPr>
          <w:p>
            <w:pPr>
              <w:spacing w:after="0"/>
              <w:rPr>
                <w:sz w:val="21"/>
                <w:szCs w:val="21"/>
                <w:color w:val="auto"/>
              </w:rPr>
            </w:pPr>
          </w:p>
        </w:tc>
        <w:tc>
          <w:tcPr>
            <w:tcW w:w="250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December 31, 2021</w:t>
            </w:r>
          </w:p>
        </w:tc>
      </w:tr>
      <w:tr>
        <w:trPr>
          <w:trHeight w:val="198"/>
        </w:trPr>
        <w:tc>
          <w:tcPr>
            <w:tcW w:w="3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i w:val="1"/>
                <w:iCs w:val="1"/>
                <w:color w:val="auto"/>
              </w:rPr>
              <w:t>As a % of</w:t>
            </w: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i w:val="1"/>
                <w:iCs w:val="1"/>
                <w:color w:val="auto"/>
              </w:rPr>
              <w:t>As a % of</w:t>
            </w: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i w:val="1"/>
                <w:iCs w:val="1"/>
                <w:color w:val="auto"/>
              </w:rPr>
              <w:t>As a % of</w:t>
            </w:r>
          </w:p>
        </w:tc>
        <w:tc>
          <w:tcPr>
            <w:tcW w:w="160" w:type="dxa"/>
            <w:vAlign w:val="bottom"/>
          </w:tcPr>
          <w:p>
            <w:pPr>
              <w:spacing w:after="0"/>
              <w:rPr>
                <w:sz w:val="17"/>
                <w:szCs w:val="17"/>
                <w:color w:val="auto"/>
              </w:rPr>
            </w:pPr>
          </w:p>
        </w:tc>
      </w:tr>
      <w:tr>
        <w:trPr>
          <w:trHeight w:val="241"/>
        </w:trPr>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As reported</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i w:val="1"/>
                <w:iCs w:val="1"/>
                <w:color w:val="auto"/>
              </w:rPr>
              <w:t>revenue</w:t>
            </w: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As reported</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As reported</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i w:val="1"/>
                <w:iCs w:val="1"/>
                <w:color w:val="auto"/>
              </w:rPr>
              <w:t>revenue</w:t>
            </w:r>
          </w:p>
        </w:tc>
      </w:tr>
      <w:tr>
        <w:trPr>
          <w:trHeight w:val="243"/>
        </w:trPr>
        <w:tc>
          <w:tcPr>
            <w:tcW w:w="3240" w:type="dxa"/>
            <w:vAlign w:val="bottom"/>
          </w:tcPr>
          <w:p>
            <w:pPr>
              <w:spacing w:after="0"/>
              <w:rPr>
                <w:sz w:val="20"/>
                <w:szCs w:val="20"/>
                <w:color w:val="auto"/>
              </w:rPr>
            </w:pPr>
            <w:r>
              <w:rPr>
                <w:rFonts w:ascii="Arial" w:cs="Arial" w:eastAsia="Arial" w:hAnsi="Arial"/>
                <w:sz w:val="18"/>
                <w:szCs w:val="18"/>
                <w:b w:val="1"/>
                <w:bCs w:val="1"/>
                <w:color w:val="auto"/>
                <w:w w:val="97"/>
              </w:rPr>
              <w:t>(in thousands, except for percentages)</w:t>
            </w:r>
          </w:p>
        </w:tc>
        <w:tc>
          <w:tcPr>
            <w:tcW w:w="1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325,760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211,920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341,945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100.0%</w:t>
            </w: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w w:val="93"/>
              </w:rPr>
              <w:t>Cost of revenues (exclusive of depreciation</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8"/>
                <w:szCs w:val="18"/>
                <w:color w:val="auto"/>
                <w:w w:val="95"/>
              </w:rPr>
              <w:t>and amortization shown separately below)</w:t>
            </w:r>
          </w:p>
        </w:tc>
        <w:tc>
          <w:tcPr>
            <w:tcW w:w="1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187,246</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57.5</w:t>
            </w:r>
          </w:p>
        </w:tc>
        <w:tc>
          <w:tcPr>
            <w:tcW w:w="1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59,807</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28.2</w:t>
            </w:r>
          </w:p>
        </w:tc>
        <w:tc>
          <w:tcPr>
            <w:tcW w:w="1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71,651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21.0</w:t>
            </w:r>
          </w:p>
        </w:tc>
      </w:tr>
      <w:tr>
        <w:trPr>
          <w:trHeight w:val="243"/>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16,168</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5.0</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13,260</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6.3</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18,422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5.4</w:t>
            </w: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Selling and marketing</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52,351</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16.1</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68,765</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32.4</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74,611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21.8</w:t>
            </w:r>
          </w:p>
        </w:tc>
      </w:tr>
      <w:tr>
        <w:trPr>
          <w:trHeight w:val="243"/>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34,433</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10.6</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29,678</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14.0</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63,499</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18.6</w:t>
            </w: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32,359</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9.9</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45,187</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21.3</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40,259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11.7</w:t>
            </w:r>
          </w:p>
        </w:tc>
      </w:tr>
      <w:tr>
        <w:trPr>
          <w:trHeight w:val="243"/>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(income), net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(0.2</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1,248</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0.6</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(959)</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(0.3)</w:t>
            </w:r>
          </w:p>
        </w:tc>
      </w:tr>
      <w:tr>
        <w:trPr>
          <w:trHeight w:val="243"/>
        </w:trPr>
        <w:tc>
          <w:tcPr>
            <w:tcW w:w="3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1260" w:type="dxa"/>
            <w:vAlign w:val="bottom"/>
            <w:gridSpan w:val="2"/>
          </w:tcPr>
          <w:p>
            <w:pPr>
              <w:spacing w:after="0"/>
              <w:rPr>
                <w:sz w:val="21"/>
                <w:szCs w:val="21"/>
                <w:color w:val="auto"/>
              </w:rPr>
            </w:pPr>
          </w:p>
        </w:tc>
      </w:tr>
      <w:tr>
        <w:trPr>
          <w:trHeight w:val="243"/>
        </w:trPr>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(loss) from operations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3,903</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i w:val="1"/>
                <w:iCs w:val="1"/>
                <w:color w:val="auto"/>
              </w:rPr>
              <w:t>1.2</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(6,025)</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i w:val="1"/>
                <w:iCs w:val="1"/>
                <w:color w:val="auto"/>
              </w:rPr>
              <w:t>(2.8)</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74,462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i w:val="1"/>
                <w:iCs w:val="1"/>
                <w:color w:val="auto"/>
              </w:rPr>
              <w:t>21.8</w:t>
            </w: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Financing income</w:t>
            </w:r>
          </w:p>
        </w:tc>
        <w:tc>
          <w:tcPr>
            <w:tcW w:w="1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(773)</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(0.2)</w:t>
            </w:r>
          </w:p>
        </w:tc>
        <w:tc>
          <w:tcPr>
            <w:tcW w:w="1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(445)</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(0.2)</w:t>
            </w:r>
          </w:p>
        </w:tc>
        <w:tc>
          <w:tcPr>
            <w:tcW w:w="1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(483)</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(0.1)</w:t>
            </w:r>
          </w:p>
        </w:tc>
      </w:tr>
      <w:tr>
        <w:trPr>
          <w:trHeight w:val="243"/>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Financing expenses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1,088</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0.3</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1,862</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0.9</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0.8</w:t>
            </w:r>
          </w:p>
        </w:tc>
      </w:tr>
      <w:tr>
        <w:trPr>
          <w:trHeight w:val="243"/>
        </w:trPr>
        <w:tc>
          <w:tcPr>
            <w:tcW w:w="3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1260" w:type="dxa"/>
            <w:vAlign w:val="bottom"/>
            <w:gridSpan w:val="2"/>
          </w:tcPr>
          <w:p>
            <w:pPr>
              <w:spacing w:after="0"/>
              <w:rPr>
                <w:sz w:val="21"/>
                <w:szCs w:val="21"/>
                <w:color w:val="auto"/>
              </w:rPr>
            </w:pPr>
          </w:p>
        </w:tc>
      </w:tr>
      <w:tr>
        <w:trPr>
          <w:trHeight w:val="243"/>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Financing expenses (income), net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0.1</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1,417</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0.7</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2,187</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0.7</w:t>
            </w:r>
          </w:p>
        </w:tc>
      </w:tr>
      <w:tr>
        <w:trPr>
          <w:trHeight w:val="243"/>
        </w:trPr>
        <w:tc>
          <w:tcPr>
            <w:tcW w:w="3240" w:type="dxa"/>
            <w:vAlign w:val="bottom"/>
          </w:tcPr>
          <w:p>
            <w:pPr>
              <w:spacing w:after="0"/>
              <w:rPr>
                <w:sz w:val="20"/>
                <w:szCs w:val="20"/>
                <w:color w:val="auto"/>
              </w:rPr>
            </w:pPr>
            <w:r>
              <w:rPr>
                <w:rFonts w:ascii="Arial" w:cs="Arial" w:eastAsia="Arial" w:hAnsi="Arial"/>
                <w:sz w:val="18"/>
                <w:szCs w:val="18"/>
                <w:b w:val="1"/>
                <w:bCs w:val="1"/>
                <w:color w:val="auto"/>
              </w:rPr>
              <w:t>Profit (loss) before taxes on income</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3,588</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i w:val="1"/>
                <w:iCs w:val="1"/>
                <w:color w:val="auto"/>
              </w:rPr>
              <w:t>1.1</w:t>
            </w:r>
          </w:p>
        </w:tc>
        <w:tc>
          <w:tcPr>
            <w:tcW w:w="1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(7,442)</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i w:val="1"/>
                <w:iCs w:val="1"/>
                <w:color w:val="auto"/>
              </w:rPr>
              <w:t>(3.5)</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72,275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i w:val="1"/>
                <w:iCs w:val="1"/>
                <w:color w:val="auto"/>
              </w:rPr>
              <w:t>21.1</w:t>
            </w:r>
          </w:p>
        </w:tc>
      </w:tr>
      <w:tr>
        <w:trPr>
          <w:trHeight w:val="243"/>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Tax benefit (expenses)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2,636</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0.8</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9,581</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4.5</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948</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0.3</w:t>
            </w:r>
          </w:p>
        </w:tc>
      </w:tr>
      <w:tr>
        <w:trPr>
          <w:trHeight w:val="243"/>
        </w:trPr>
        <w:tc>
          <w:tcPr>
            <w:tcW w:w="3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1260" w:type="dxa"/>
            <w:vAlign w:val="bottom"/>
            <w:gridSpan w:val="2"/>
          </w:tcPr>
          <w:p>
            <w:pPr>
              <w:spacing w:after="0"/>
              <w:rPr>
                <w:sz w:val="21"/>
                <w:szCs w:val="21"/>
                <w:color w:val="auto"/>
              </w:rPr>
            </w:pPr>
          </w:p>
        </w:tc>
      </w:tr>
      <w:tr>
        <w:trPr>
          <w:trHeight w:val="243"/>
        </w:trPr>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for the year</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6,224</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i w:val="1"/>
                <w:iCs w:val="1"/>
                <w:color w:val="auto"/>
              </w:rPr>
              <w:t>1.9</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2,139</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i w:val="1"/>
                <w:iCs w:val="1"/>
                <w:color w:val="auto"/>
              </w:rPr>
              <w:t>1.0</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73,223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21.4</w:t>
            </w: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rPr>
              <w:t>Foreign currency translation differences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8"/>
                <w:szCs w:val="18"/>
                <w:color w:val="auto"/>
              </w:rPr>
              <w:t>for foreign operation</w:t>
            </w:r>
          </w:p>
        </w:tc>
        <w:tc>
          <w:tcPr>
            <w:tcW w:w="1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0.0</w:t>
            </w:r>
          </w:p>
        </w:tc>
        <w:tc>
          <w:tcPr>
            <w:tcW w:w="1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2,836</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1.3</w:t>
            </w:r>
          </w:p>
        </w:tc>
        <w:tc>
          <w:tcPr>
            <w:tcW w:w="1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(2,632)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(0.8)</w:t>
            </w:r>
          </w:p>
        </w:tc>
      </w:tr>
      <w:tr>
        <w:trPr>
          <w:trHeight w:val="243"/>
        </w:trPr>
        <w:tc>
          <w:tcPr>
            <w:tcW w:w="3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198"/>
        </w:trPr>
        <w:tc>
          <w:tcPr>
            <w:tcW w:w="3240" w:type="dxa"/>
            <w:vAlign w:val="bottom"/>
          </w:tcPr>
          <w:p>
            <w:pPr>
              <w:spacing w:after="0" w:line="198" w:lineRule="exact"/>
              <w:rPr>
                <w:sz w:val="20"/>
                <w:szCs w:val="20"/>
                <w:color w:val="auto"/>
              </w:rPr>
            </w:pPr>
            <w:r>
              <w:rPr>
                <w:rFonts w:ascii="Arial" w:cs="Arial" w:eastAsia="Arial" w:hAnsi="Arial"/>
                <w:sz w:val="18"/>
                <w:szCs w:val="18"/>
                <w:b w:val="1"/>
                <w:bCs w:val="1"/>
                <w:color w:val="auto"/>
                <w:w w:val="97"/>
              </w:rPr>
              <w:t>Total comprehensive income (loss) for</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61"/>
        </w:trPr>
        <w:tc>
          <w:tcPr>
            <w:tcW w:w="3240" w:type="dxa"/>
            <w:vAlign w:val="bottom"/>
          </w:tcPr>
          <w:p>
            <w:pPr>
              <w:spacing w:after="0"/>
              <w:rPr>
                <w:sz w:val="20"/>
                <w:szCs w:val="20"/>
                <w:color w:val="auto"/>
              </w:rPr>
            </w:pPr>
            <w:r>
              <w:rPr>
                <w:rFonts w:ascii="Arial" w:cs="Arial" w:eastAsia="Arial" w:hAnsi="Arial"/>
                <w:sz w:val="18"/>
                <w:szCs w:val="18"/>
                <w:b w:val="1"/>
                <w:bCs w:val="1"/>
                <w:color w:val="auto"/>
              </w:rPr>
              <w:t>the year</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6,363</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i w:val="1"/>
                <w:iCs w:val="1"/>
                <w:color w:val="auto"/>
              </w:rPr>
              <w:t>2.0%</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4,975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i w:val="1"/>
                <w:iCs w:val="1"/>
                <w:color w:val="auto"/>
              </w:rPr>
              <w:t>2.3%</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70,591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b w:val="1"/>
                <w:bCs w:val="1"/>
                <w:i w:val="1"/>
                <w:iCs w:val="1"/>
                <w:color w:val="auto"/>
              </w:rPr>
              <w:t>20.6%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0"/>
          <w:szCs w:val="20"/>
          <w:color w:val="auto"/>
        </w:rPr>
      </w:pPr>
    </w:p>
    <w:p>
      <w:pPr>
        <w:jc w:val="both"/>
        <w:ind w:left="460" w:hanging="452"/>
        <w:spacing w:after="0" w:line="263"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Effective January 1, 2020, we recognize revenue on a net basis for the Programmatic activity, which had been recognized on a gross basis historically, including for the year ended December 31, 2019. See “—</w:t>
      </w:r>
      <w:r>
        <w:rPr>
          <w:rFonts w:ascii="Arial" w:cs="Arial" w:eastAsia="Arial" w:hAnsi="Arial"/>
          <w:sz w:val="18"/>
          <w:szCs w:val="18"/>
          <w:i w:val="1"/>
          <w:iCs w:val="1"/>
          <w:color w:val="auto"/>
        </w:rPr>
        <w:t>Critical Accounting Policies, Judgments and Estimates—Revenue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w:t>
      </w:r>
      <w:r>
        <w:rPr>
          <w:rFonts w:ascii="Arial" w:cs="Arial" w:eastAsia="Arial" w:hAnsi="Arial"/>
          <w:sz w:val="18"/>
          <w:szCs w:val="18"/>
          <w:color w:val="auto"/>
        </w:rPr>
        <w:t>for information regarding the revenue recognition presentation change.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b w:val="1"/>
                <w:bCs w:val="1"/>
                <w:i w:val="1"/>
                <w:iCs w:val="1"/>
                <w:color w:val="auto"/>
                <w:w w:val="91"/>
              </w:rPr>
              <w:t>Year Ended December 31, 2021 compared to Year Ended December 31, 2020</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980" w:type="dxa"/>
            <w:vAlign w:val="bottom"/>
          </w:tcPr>
          <w:p>
            <w:pPr>
              <w:ind w:left="660"/>
              <w:spacing w:after="0"/>
              <w:rPr>
                <w:sz w:val="20"/>
                <w:szCs w:val="20"/>
                <w:color w:val="auto"/>
              </w:rPr>
            </w:pPr>
            <w:r>
              <w:rPr>
                <w:rFonts w:ascii="Arial" w:cs="Arial" w:eastAsia="Arial" w:hAnsi="Arial"/>
                <w:sz w:val="18"/>
                <w:szCs w:val="18"/>
                <w:i w:val="1"/>
                <w:iCs w:val="1"/>
                <w:color w:val="auto"/>
              </w:rPr>
              <w:t>Revenue</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5"/>
          </w:tcPr>
          <w:p>
            <w:pPr>
              <w:ind w:left="60"/>
              <w:spacing w:after="0"/>
              <w:rPr>
                <w:sz w:val="20"/>
                <w:szCs w:val="20"/>
                <w:color w:val="auto"/>
              </w:rPr>
            </w:pPr>
            <w:r>
              <w:rPr>
                <w:rFonts w:ascii="Arial" w:cs="Arial" w:eastAsia="Arial" w:hAnsi="Arial"/>
                <w:sz w:val="18"/>
                <w:szCs w:val="18"/>
                <w:b w:val="1"/>
                <w:bCs w:val="1"/>
                <w:color w:val="auto"/>
              </w:rPr>
              <w:t>Year Ended December 31,</w:t>
            </w:r>
          </w:p>
        </w:tc>
        <w:tc>
          <w:tcPr>
            <w:tcW w:w="300" w:type="dxa"/>
            <w:vAlign w:val="bottom"/>
          </w:tcPr>
          <w:p>
            <w:pPr>
              <w:spacing w:after="0"/>
              <w:rPr>
                <w:sz w:val="24"/>
                <w:szCs w:val="24"/>
                <w:color w:val="auto"/>
              </w:rPr>
            </w:pPr>
          </w:p>
        </w:tc>
        <w:tc>
          <w:tcPr>
            <w:tcW w:w="136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59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(as reported)</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(as reported)</w:t>
            </w:r>
          </w:p>
        </w:tc>
        <w:tc>
          <w:tcPr>
            <w:tcW w:w="300" w:type="dxa"/>
            <w:vAlign w:val="bottom"/>
          </w:tcPr>
          <w:p>
            <w:pPr>
              <w:spacing w:after="0"/>
              <w:rPr>
                <w:sz w:val="20"/>
                <w:szCs w:val="20"/>
                <w:color w:val="auto"/>
              </w:rPr>
            </w:pPr>
          </w:p>
        </w:tc>
        <w:tc>
          <w:tcPr>
            <w:tcW w:w="8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(in thousands, except for percentages)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211,920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341,945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130,025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61.4%</w:t>
            </w: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Revenue increased by $130 million, or 61.4%, to $341.9 million for the year ended December 31, 2021 from $211.9 million for the year ended December 31, 2020. Approximately $105 million of the increase was attributable to the growth of our Programmatic businesses as advertiser spend on CTV increased and we experienced significantly greater adoption of our self-service and various tech-enabled programmatic offerings.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remainder of the revenue increase was attributable to the growth of our Performance business.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ind w:left="660"/>
              <w:spacing w:after="0"/>
              <w:rPr>
                <w:sz w:val="20"/>
                <w:szCs w:val="20"/>
                <w:color w:val="auto"/>
              </w:rPr>
            </w:pPr>
            <w:r>
              <w:rPr>
                <w:rFonts w:ascii="Arial" w:cs="Arial" w:eastAsia="Arial" w:hAnsi="Arial"/>
                <w:sz w:val="18"/>
                <w:szCs w:val="18"/>
                <w:i w:val="1"/>
                <w:iCs w:val="1"/>
                <w:color w:val="auto"/>
              </w:rPr>
              <w:t>Cost of revenues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88"/>
              </w:rPr>
              <w:t>Year ended</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5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Pr>
          <w:p>
            <w:pPr>
              <w:spacing w:after="0"/>
              <w:rPr>
                <w:sz w:val="20"/>
                <w:szCs w:val="20"/>
                <w:color w:val="auto"/>
              </w:rPr>
            </w:pPr>
          </w:p>
        </w:tc>
        <w:tc>
          <w:tcPr>
            <w:tcW w:w="136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5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w w:val="94"/>
              </w:rPr>
              <w:t>2021</w:t>
            </w: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41"/>
        </w:trPr>
        <w:tc>
          <w:tcPr>
            <w:tcW w:w="5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(as reported)</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(as reported)</w:t>
            </w:r>
          </w:p>
        </w:tc>
        <w:tc>
          <w:tcPr>
            <w:tcW w:w="300" w:type="dxa"/>
            <w:vAlign w:val="bottom"/>
          </w:tcPr>
          <w:p>
            <w:pPr>
              <w:spacing w:after="0"/>
              <w:rPr>
                <w:sz w:val="20"/>
                <w:szCs w:val="20"/>
                <w:color w:val="auto"/>
              </w:rPr>
            </w:pPr>
          </w:p>
        </w:tc>
        <w:tc>
          <w:tcPr>
            <w:tcW w:w="8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b w:val="1"/>
                <w:bCs w:val="1"/>
                <w:color w:val="auto"/>
              </w:rPr>
              <w:t>(in thousands, except for percentages)</w:t>
            </w:r>
          </w:p>
        </w:tc>
        <w:tc>
          <w:tcPr>
            <w:tcW w:w="9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59,807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71,651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11,844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r>
      <w:tr>
        <w:trPr>
          <w:trHeight w:val="608"/>
        </w:trPr>
        <w:tc>
          <w:tcPr>
            <w:tcW w:w="5060" w:type="dxa"/>
            <w:vAlign w:val="bottom"/>
          </w:tcPr>
          <w:p>
            <w:pPr>
              <w:spacing w:after="0"/>
              <w:rPr>
                <w:sz w:val="24"/>
                <w:szCs w:val="24"/>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1"/>
        </w:trPr>
        <w:tc>
          <w:tcPr>
            <w:tcW w:w="50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41" w:right="339" w:bottom="1440" w:gutter="0" w:footer="0" w:header="0"/>
        </w:sectPr>
      </w:pPr>
    </w:p>
    <w:bookmarkStart w:id="61" w:name="page62"/>
    <w:bookmarkEnd w:id="61"/>
    <w:p>
      <w:pPr>
        <w:jc w:val="both"/>
        <w:ind w:firstLine="648"/>
        <w:spacing w:after="0" w:line="342" w:lineRule="auto"/>
        <w:rPr>
          <w:sz w:val="20"/>
          <w:szCs w:val="20"/>
          <w:color w:val="auto"/>
        </w:rPr>
      </w:pPr>
      <w:r>
        <w:rPr>
          <w:rFonts w:ascii="Arial" w:cs="Arial" w:eastAsia="Arial" w:hAnsi="Arial"/>
          <w:sz w:val="16"/>
          <w:szCs w:val="16"/>
          <w:color w:val="auto"/>
        </w:rPr>
        <w:t>Cost of revenues (exclusive of depreciation and amortization) increased by $11.8 million, or 19.8%, to $71.6 million for the year ended December 31, 2021 from $59.8 million for the year ended December 31, 2020. The increase was primarily driven by increased revenue in our Performance activity.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ind w:left="660"/>
              <w:spacing w:after="0"/>
              <w:rPr>
                <w:sz w:val="20"/>
                <w:szCs w:val="20"/>
                <w:color w:val="auto"/>
              </w:rPr>
            </w:pPr>
            <w:r>
              <w:rPr>
                <w:rFonts w:ascii="Arial" w:cs="Arial" w:eastAsia="Arial" w:hAnsi="Arial"/>
                <w:sz w:val="18"/>
                <w:szCs w:val="18"/>
                <w:i w:val="1"/>
                <w:iCs w:val="1"/>
                <w:color w:val="auto"/>
              </w:rPr>
              <w:t>Research and development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88"/>
              </w:rPr>
              <w:t>Year ended</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Pr>
          <w:p>
            <w:pPr>
              <w:spacing w:after="0"/>
              <w:rPr>
                <w:sz w:val="20"/>
                <w:szCs w:val="20"/>
                <w:color w:val="auto"/>
              </w:rPr>
            </w:pPr>
          </w:p>
        </w:tc>
        <w:tc>
          <w:tcPr>
            <w:tcW w:w="136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59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w w:val="94"/>
              </w:rPr>
              <w:t>2021</w:t>
            </w: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(as reported)</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(as reported)</w:t>
            </w:r>
          </w:p>
        </w:tc>
        <w:tc>
          <w:tcPr>
            <w:tcW w:w="300" w:type="dxa"/>
            <w:vAlign w:val="bottom"/>
          </w:tcPr>
          <w:p>
            <w:pPr>
              <w:spacing w:after="0"/>
              <w:rPr>
                <w:sz w:val="20"/>
                <w:szCs w:val="20"/>
                <w:color w:val="auto"/>
              </w:rPr>
            </w:pPr>
          </w:p>
        </w:tc>
        <w:tc>
          <w:tcPr>
            <w:tcW w:w="8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(in thousands, except for percentages)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13,260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18,422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expenses increased by $5.2 million, or 38.9% to $18.4 million for the year ended December 31, 2021 from $13.3 million for the year ended December 31, 2020. This increase was primarily driven by a $2.6 million increase in personnel costs due mainly to increases head count, growth and increased share-based compensation of $2.9 million. This was partially offset by the decrease in expense for research and development and engineering tools and services of $0.5 million attributable to operational efficiencies.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ind w:left="660"/>
              <w:spacing w:after="0"/>
              <w:rPr>
                <w:sz w:val="20"/>
                <w:szCs w:val="20"/>
                <w:color w:val="auto"/>
              </w:rPr>
            </w:pPr>
            <w:r>
              <w:rPr>
                <w:rFonts w:ascii="Arial" w:cs="Arial" w:eastAsia="Arial" w:hAnsi="Arial"/>
                <w:sz w:val="18"/>
                <w:szCs w:val="18"/>
                <w:i w:val="1"/>
                <w:iCs w:val="1"/>
                <w:color w:val="auto"/>
              </w:rPr>
              <w:t>Selling and marketing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88"/>
              </w:rPr>
              <w:t>Year ended</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Pr>
          <w:p>
            <w:pPr>
              <w:spacing w:after="0"/>
              <w:rPr>
                <w:sz w:val="20"/>
                <w:szCs w:val="20"/>
                <w:color w:val="auto"/>
              </w:rPr>
            </w:pPr>
          </w:p>
        </w:tc>
        <w:tc>
          <w:tcPr>
            <w:tcW w:w="136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59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w w:val="94"/>
              </w:rPr>
              <w:t>2021</w:t>
            </w: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(as reported)</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(as reported)</w:t>
            </w:r>
          </w:p>
        </w:tc>
        <w:tc>
          <w:tcPr>
            <w:tcW w:w="300" w:type="dxa"/>
            <w:vAlign w:val="bottom"/>
          </w:tcPr>
          <w:p>
            <w:pPr>
              <w:spacing w:after="0"/>
              <w:rPr>
                <w:sz w:val="20"/>
                <w:szCs w:val="20"/>
                <w:color w:val="auto"/>
              </w:rPr>
            </w:pPr>
          </w:p>
        </w:tc>
        <w:tc>
          <w:tcPr>
            <w:tcW w:w="8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(in thousands, except for percentages)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68,765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74,611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Selling and marketing expenses increased by $5.8 million or 8.5% to $74.6 million for the year ended December 31, 2021 from $68.8 million for the year ended December 31, 2020. This increase was mainly driven by increased commission cost of $2.7 million resulting from our business growth and share based compensation expenses of $2.6 million.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88"/>
              </w:rPr>
              <w:t>Year ended</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4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Pr>
          <w:p>
            <w:pPr>
              <w:spacing w:after="0"/>
              <w:rPr>
                <w:sz w:val="20"/>
                <w:szCs w:val="20"/>
                <w:color w:val="auto"/>
              </w:rPr>
            </w:pPr>
          </w:p>
        </w:tc>
        <w:tc>
          <w:tcPr>
            <w:tcW w:w="136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4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w w:val="94"/>
              </w:rPr>
              <w:t>2021</w:t>
            </w: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41"/>
        </w:trPr>
        <w:tc>
          <w:tcPr>
            <w:tcW w:w="4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(as reported)</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(as reported)</w:t>
            </w:r>
          </w:p>
        </w:tc>
        <w:tc>
          <w:tcPr>
            <w:tcW w:w="300" w:type="dxa"/>
            <w:vAlign w:val="bottom"/>
          </w:tcPr>
          <w:p>
            <w:pPr>
              <w:spacing w:after="0"/>
              <w:rPr>
                <w:sz w:val="20"/>
                <w:szCs w:val="20"/>
                <w:color w:val="auto"/>
              </w:rPr>
            </w:pPr>
          </w:p>
        </w:tc>
        <w:tc>
          <w:tcPr>
            <w:tcW w:w="8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b w:val="1"/>
                <w:bCs w:val="1"/>
                <w:color w:val="auto"/>
              </w:rPr>
              <w:t>(in thousands, except for percentages)</w:t>
            </w:r>
          </w:p>
        </w:tc>
        <w:tc>
          <w:tcPr>
            <w:tcW w:w="17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29,678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63,499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33,821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114.0%</w:t>
            </w:r>
          </w:p>
        </w:tc>
      </w:tr>
      <w:tr>
        <w:trPr>
          <w:trHeight w:val="608"/>
        </w:trPr>
        <w:tc>
          <w:tcPr>
            <w:tcW w:w="4220" w:type="dxa"/>
            <w:vAlign w:val="bottom"/>
          </w:tcPr>
          <w:p>
            <w:pPr>
              <w:spacing w:after="0"/>
              <w:rPr>
                <w:sz w:val="24"/>
                <w:szCs w:val="24"/>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1"/>
        </w:trPr>
        <w:tc>
          <w:tcPr>
            <w:tcW w:w="42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41" w:right="339" w:bottom="1440" w:gutter="0" w:footer="0" w:header="0"/>
        </w:sectPr>
      </w:pPr>
    </w:p>
    <w:bookmarkStart w:id="62" w:name="page63"/>
    <w:bookmarkEnd w:id="62"/>
    <w:p>
      <w:pPr>
        <w:jc w:val="both"/>
        <w:ind w:firstLine="648"/>
        <w:spacing w:after="0" w:line="273" w:lineRule="auto"/>
        <w:rPr>
          <w:sz w:val="20"/>
          <w:szCs w:val="20"/>
          <w:color w:val="auto"/>
        </w:rPr>
      </w:pPr>
      <w:r>
        <w:rPr>
          <w:rFonts w:ascii="Arial" w:cs="Arial" w:eastAsia="Arial" w:hAnsi="Arial"/>
          <w:sz w:val="17"/>
          <w:szCs w:val="17"/>
          <w:color w:val="auto"/>
        </w:rPr>
        <w:t>General and administrative expenses increased by $33.8 million or 114.0% to $63.5 million for the year ended December 31, 2021 from $29.7 million for the year ended December 31, 2020. This increase was primarily driven by (i) an increase personnel costs of $2.5 million related to the special bonus awarded in connection with the completion of our initial public offering (ii) our share-based compensation expenses of $22.8 million related the grant of RSUs and PSUs for the executive officers and directors of the Company under our equity incentive plans, (iii) $6 million of expenses in doubtful debts related to a specific and probability weighted estimate which is consistent with our overall growth in activities and (iv) professional services of $2.4 million mainly as a result of expenses related to being a public reporting company in the United States.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ind w:left="660"/>
              <w:spacing w:after="0"/>
              <w:rPr>
                <w:sz w:val="20"/>
                <w:szCs w:val="20"/>
                <w:color w:val="auto"/>
              </w:rPr>
            </w:pPr>
            <w:r>
              <w:rPr>
                <w:rFonts w:ascii="Arial" w:cs="Arial" w:eastAsia="Arial" w:hAnsi="Arial"/>
                <w:sz w:val="18"/>
                <w:szCs w:val="18"/>
                <w:i w:val="1"/>
                <w:iCs w:val="1"/>
                <w:color w:val="auto"/>
              </w:rPr>
              <w:t>Depreciation and amortization expenses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88"/>
              </w:rPr>
              <w:t>Year ended</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1"/>
        </w:trPr>
        <w:tc>
          <w:tcPr>
            <w:tcW w:w="5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320" w:type="dxa"/>
            <w:vAlign w:val="bottom"/>
          </w:tcPr>
          <w:p>
            <w:pPr>
              <w:spacing w:after="0"/>
              <w:rPr>
                <w:sz w:val="20"/>
                <w:szCs w:val="20"/>
                <w:color w:val="auto"/>
              </w:rPr>
            </w:pPr>
          </w:p>
        </w:tc>
        <w:tc>
          <w:tcPr>
            <w:tcW w:w="136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98"/>
        </w:trPr>
        <w:tc>
          <w:tcPr>
            <w:tcW w:w="59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70"/>
              <w:spacing w:after="0" w:line="198" w:lineRule="exact"/>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41"/>
        </w:trPr>
        <w:tc>
          <w:tcPr>
            <w:tcW w:w="5920" w:type="dxa"/>
            <w:vAlign w:val="bottom"/>
          </w:tcPr>
          <w:p>
            <w:pPr>
              <w:spacing w:after="0"/>
              <w:rPr>
                <w:sz w:val="20"/>
                <w:szCs w:val="20"/>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(as reported)</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(as reported)</w:t>
            </w:r>
          </w:p>
        </w:tc>
        <w:tc>
          <w:tcPr>
            <w:tcW w:w="320" w:type="dxa"/>
            <w:vAlign w:val="bottom"/>
          </w:tcPr>
          <w:p>
            <w:pPr>
              <w:spacing w:after="0"/>
              <w:rPr>
                <w:sz w:val="20"/>
                <w:szCs w:val="20"/>
                <w:color w:val="auto"/>
              </w:rPr>
            </w:pPr>
          </w:p>
        </w:tc>
        <w:tc>
          <w:tcPr>
            <w:tcW w:w="8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b w:val="1"/>
                <w:bCs w:val="1"/>
                <w:color w:val="auto"/>
              </w:rPr>
              <w:t>(in thousands, except for percentages)</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45,187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40,259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Depreciation and amortization expenses decreased by $4.9 or 10.9% to $40.3 million for the year ended December 31, 2021 from $45.2 million for the year ended December 31, 2020. This decrease was primarily driven by a $2.5 million depreciation of the lease assets of data centers and offices attributable to the optimization of our assets, and by a full amortization of intangible assets acquired of $2.1 million.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ind w:left="660"/>
              <w:spacing w:after="0"/>
              <w:rPr>
                <w:sz w:val="20"/>
                <w:szCs w:val="20"/>
                <w:color w:val="auto"/>
              </w:rPr>
            </w:pPr>
            <w:r>
              <w:rPr>
                <w:rFonts w:ascii="Arial" w:cs="Arial" w:eastAsia="Arial" w:hAnsi="Arial"/>
                <w:sz w:val="18"/>
                <w:szCs w:val="18"/>
                <w:i w:val="1"/>
                <w:iCs w:val="1"/>
                <w:color w:val="auto"/>
              </w:rPr>
              <w:t>Other Expenses (income, net)</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gridSpan w:val="3"/>
          </w:tcPr>
          <w:p>
            <w:pPr>
              <w:ind w:left="580"/>
              <w:spacing w:after="0"/>
              <w:rPr>
                <w:sz w:val="20"/>
                <w:szCs w:val="20"/>
                <w:color w:val="auto"/>
              </w:rPr>
            </w:pPr>
            <w:r>
              <w:rPr>
                <w:rFonts w:ascii="Arial" w:cs="Arial" w:eastAsia="Arial" w:hAnsi="Arial"/>
                <w:sz w:val="18"/>
                <w:szCs w:val="18"/>
                <w:b w:val="1"/>
                <w:bCs w:val="1"/>
                <w:color w:val="auto"/>
              </w:rPr>
              <w:t>Year ended</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1"/>
        </w:trPr>
        <w:tc>
          <w:tcPr>
            <w:tcW w:w="5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8"/>
        </w:trPr>
        <w:tc>
          <w:tcPr>
            <w:tcW w:w="5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290"/>
              <w:spacing w:after="0" w:line="198" w:lineRule="exact"/>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1"/>
        </w:trPr>
        <w:tc>
          <w:tcPr>
            <w:tcW w:w="5900" w:type="dxa"/>
            <w:vAlign w:val="bottom"/>
          </w:tcPr>
          <w:p>
            <w:pPr>
              <w:spacing w:after="0"/>
              <w:rPr>
                <w:sz w:val="20"/>
                <w:szCs w:val="20"/>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(as reported)</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(as reported)</w:t>
            </w:r>
          </w:p>
        </w:tc>
        <w:tc>
          <w:tcPr>
            <w:tcW w:w="320" w:type="dxa"/>
            <w:vAlign w:val="bottom"/>
          </w:tcPr>
          <w:p>
            <w:pPr>
              <w:spacing w:after="0"/>
              <w:rPr>
                <w:sz w:val="20"/>
                <w:szCs w:val="20"/>
                <w:color w:val="auto"/>
              </w:rPr>
            </w:pPr>
          </w:p>
        </w:tc>
        <w:tc>
          <w:tcPr>
            <w:tcW w:w="8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b w:val="1"/>
                <w:bCs w:val="1"/>
                <w:color w:val="auto"/>
              </w:rPr>
              <w:t>(in thousands, except for percentages)</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(income), net</w:t>
            </w: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1,248</w:t>
            </w:r>
          </w:p>
        </w:tc>
        <w:tc>
          <w:tcPr>
            <w:tcW w:w="780" w:type="dxa"/>
            <w:vAlign w:val="bottom"/>
            <w:shd w:val="clear" w:color="auto" w:fill="CCEEFF"/>
          </w:tcPr>
          <w:p>
            <w:pPr>
              <w:jc w:val="right"/>
              <w:ind w:right="61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(959)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(176.8)%</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expenses (income), net decreased by $2.2 million or 176.8%. This decrease was driven by a $1.7 million due to Uber settlement in 2020 and payment relating to a drawn-out litigation process as well as an increase of $0.5 million in other income as a result of revenue and profit sharing reflecting the sale of certain non-core business units during 2019 and 2020</w:t>
      </w:r>
      <w:r>
        <w:rPr>
          <w:rFonts w:ascii="Arial" w:cs="Arial" w:eastAsia="Arial" w:hAnsi="Arial"/>
          <w:sz w:val="18"/>
          <w:szCs w:val="18"/>
          <w:i w:val="1"/>
          <w:iCs w:val="1"/>
          <w:color w:val="auto"/>
        </w:rPr>
        <w:t>.</w:t>
      </w:r>
    </w:p>
    <w:p>
      <w:pPr>
        <w:sectPr>
          <w:pgSz w:w="11900" w:h="16838" w:orient="portrait"/>
          <w:cols w:equalWidth="0" w:num="1">
            <w:col w:w="11240"/>
          </w:cols>
          <w:pgMar w:left="320" w:top="341" w:right="339" w:bottom="1440" w:gutter="0" w:footer="0" w:header="0"/>
        </w:sectPr>
      </w:pPr>
    </w:p>
    <w:p>
      <w:pPr>
        <w:spacing w:after="0" w:line="184" w:lineRule="exact"/>
        <w:rPr>
          <w:sz w:val="20"/>
          <w:szCs w:val="20"/>
          <w:color w:val="auto"/>
        </w:rPr>
      </w:pPr>
    </w:p>
    <w:p>
      <w:pPr>
        <w:jc w:val="right"/>
        <w:ind w:right="2240"/>
        <w:spacing w:after="0"/>
        <w:rPr>
          <w:sz w:val="20"/>
          <w:szCs w:val="20"/>
          <w:color w:val="auto"/>
        </w:rPr>
      </w:pPr>
      <w:r>
        <w:rPr>
          <w:rFonts w:ascii="Arial" w:cs="Arial" w:eastAsia="Arial" w:hAnsi="Arial"/>
          <w:sz w:val="18"/>
          <w:szCs w:val="18"/>
          <w:i w:val="1"/>
          <w:iCs w:val="1"/>
          <w:color w:val="auto"/>
        </w:rPr>
        <w:t>Net financial expenses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 except for percentages)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Financial income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Financial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240" w:type="dxa"/>
            <w:vAlign w:val="bottom"/>
          </w:tcPr>
          <w:p>
            <w:pPr>
              <w:spacing w:after="0"/>
              <w:rPr>
                <w:sz w:val="20"/>
                <w:szCs w:val="20"/>
                <w:color w:val="auto"/>
              </w:rPr>
            </w:pPr>
          </w:p>
        </w:tc>
        <w:tc>
          <w:tcPr>
            <w:tcW w:w="246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December 31,</w:t>
            </w:r>
          </w:p>
        </w:tc>
        <w:tc>
          <w:tcPr>
            <w:tcW w:w="740" w:type="dxa"/>
            <w:vAlign w:val="bottom"/>
          </w:tcPr>
          <w:p>
            <w:pPr>
              <w:spacing w:after="0"/>
              <w:rPr>
                <w:sz w:val="20"/>
                <w:szCs w:val="20"/>
                <w:color w:val="auto"/>
              </w:rPr>
            </w:pPr>
          </w:p>
        </w:tc>
        <w:tc>
          <w:tcPr>
            <w:tcW w:w="920" w:type="dxa"/>
            <w:vAlign w:val="bottom"/>
            <w:gridSpan w:val="3"/>
          </w:tcPr>
          <w:p>
            <w:pPr>
              <w:ind w:left="200"/>
              <w:spacing w:after="0"/>
              <w:rPr>
                <w:sz w:val="20"/>
                <w:szCs w:val="20"/>
                <w:color w:val="auto"/>
              </w:rPr>
            </w:pPr>
            <w:r>
              <w:rPr>
                <w:rFonts w:ascii="Arial" w:cs="Arial" w:eastAsia="Arial" w:hAnsi="Arial"/>
                <w:sz w:val="18"/>
                <w:szCs w:val="18"/>
                <w:b w:val="1"/>
                <w:bCs w:val="1"/>
                <w:color w:val="auto"/>
              </w:rPr>
              <w:t>Change</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98"/>
        </w:trPr>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10"/>
              <w:spacing w:after="0" w:line="198" w:lineRule="exact"/>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w w:val="94"/>
              </w:rPr>
              <w:t>2021</w:t>
            </w: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41"/>
        </w:trPr>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(as reported)</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(as reported)</w:t>
            </w:r>
          </w:p>
        </w:tc>
        <w:tc>
          <w:tcPr>
            <w:tcW w:w="220" w:type="dxa"/>
            <w:vAlign w:val="bottom"/>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r>
      <w:tr>
        <w:trPr>
          <w:trHeight w:val="472"/>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(445)</w:t>
            </w:r>
          </w:p>
        </w:tc>
        <w:tc>
          <w:tcPr>
            <w:tcW w:w="340" w:type="dxa"/>
            <w:vAlign w:val="bottom"/>
          </w:tcPr>
          <w:p>
            <w:pPr>
              <w:jc w:val="right"/>
              <w:ind w:right="181"/>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(483)</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1,862</w:t>
            </w:r>
          </w:p>
        </w:tc>
        <w:tc>
          <w:tcPr>
            <w:tcW w:w="220" w:type="dxa"/>
            <w:vAlign w:val="bottom"/>
          </w:tcPr>
          <w:p>
            <w:pPr>
              <w:spacing w:after="0"/>
              <w:rPr>
                <w:sz w:val="20"/>
                <w:szCs w:val="20"/>
                <w:color w:val="auto"/>
              </w:rPr>
            </w:pPr>
          </w:p>
        </w:tc>
        <w:tc>
          <w:tcPr>
            <w:tcW w:w="340" w:type="dxa"/>
            <w:vAlign w:val="bottom"/>
          </w:tcPr>
          <w:p>
            <w:pPr>
              <w:jc w:val="right"/>
              <w:ind w:right="181"/>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2,670</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808</w:t>
            </w:r>
          </w:p>
        </w:tc>
        <w:tc>
          <w:tcPr>
            <w:tcW w:w="3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43.4%</w:t>
            </w:r>
          </w:p>
        </w:tc>
      </w:tr>
      <w:tr>
        <w:trPr>
          <w:trHeight w:val="27"/>
        </w:trPr>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-307975</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-3753485</wp:posOffset>
            </wp:positionH>
            <wp:positionV relativeFrom="paragraph">
              <wp:posOffset>0</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00" w:space="720"/>
            <w:col w:w="5320"/>
          </w:cols>
          <w:pgMar w:left="320" w:top="341" w:right="339" w:bottom="1440" w:gutter="0" w:footer="0" w:header="0"/>
          <w:type w:val="continuous"/>
        </w:sectPr>
      </w:pPr>
    </w:p>
    <w:p>
      <w:pPr>
        <w:spacing w:after="0" w:line="25" w:lineRule="exact"/>
        <w:rPr>
          <w:sz w:val="20"/>
          <w:szCs w:val="20"/>
          <w:color w:val="auto"/>
        </w:rPr>
      </w:pPr>
    </w:p>
    <w:p>
      <w:pPr>
        <w:spacing w:after="0"/>
        <w:tabs>
          <w:tab w:leader="none" w:pos="5900" w:val="left"/>
          <w:tab w:leader="none" w:pos="6640" w:val="left"/>
          <w:tab w:leader="none" w:pos="7260" w:val="left"/>
          <w:tab w:leader="none" w:pos="7980" w:val="left"/>
          <w:tab w:leader="none" w:pos="8600" w:val="left"/>
          <w:tab w:leader="none" w:pos="9460" w:val="left"/>
          <w:tab w:leader="none" w:pos="10740" w:val="left"/>
        </w:tabs>
        <w:rPr>
          <w:sz w:val="20"/>
          <w:szCs w:val="20"/>
          <w:color w:val="auto"/>
        </w:rPr>
      </w:pPr>
      <w:r>
        <w:rPr>
          <w:rFonts w:ascii="Arial" w:cs="Arial" w:eastAsia="Arial" w:hAnsi="Arial"/>
          <w:sz w:val="18"/>
          <w:szCs w:val="18"/>
          <w:b w:val="1"/>
          <w:bCs w:val="1"/>
          <w:color w:val="auto"/>
        </w:rPr>
        <w:t>Financial expenses,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1,417</w:t>
        <w:tab/>
        <w:t>$</w:t>
      </w:r>
      <w:r>
        <w:rPr>
          <w:sz w:val="20"/>
          <w:szCs w:val="20"/>
          <w:color w:val="auto"/>
        </w:rPr>
        <w:tab/>
      </w:r>
      <w:r>
        <w:rPr>
          <w:rFonts w:ascii="Arial" w:cs="Arial" w:eastAsia="Arial" w:hAnsi="Arial"/>
          <w:sz w:val="18"/>
          <w:szCs w:val="18"/>
          <w:color w:val="auto"/>
        </w:rPr>
        <w:t>2,187</w:t>
        <w:tab/>
        <w:t>$</w:t>
      </w:r>
      <w:r>
        <w:rPr>
          <w:sz w:val="20"/>
          <w:szCs w:val="20"/>
          <w:color w:val="auto"/>
        </w:rPr>
        <w:tab/>
      </w:r>
      <w:r>
        <w:rPr>
          <w:rFonts w:ascii="Arial" w:cs="Arial" w:eastAsia="Arial" w:hAnsi="Arial"/>
          <w:sz w:val="18"/>
          <w:szCs w:val="18"/>
          <w:color w:val="auto"/>
        </w:rPr>
        <w:t>770</w:t>
      </w:r>
      <w:r>
        <w:rPr>
          <w:sz w:val="20"/>
          <w:szCs w:val="20"/>
          <w:color w:val="auto"/>
        </w:rPr>
        <w:tab/>
      </w:r>
      <w:r>
        <w:rPr>
          <w:rFonts w:ascii="Arial" w:cs="Arial" w:eastAsia="Arial" w:hAnsi="Arial"/>
          <w:sz w:val="16"/>
          <w:szCs w:val="16"/>
          <w:color w:val="auto"/>
        </w:rPr>
        <w:t>54.3%</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63" w:name="page64"/>
    <w:bookmarkEnd w:id="63"/>
    <w:p>
      <w:pPr>
        <w:ind w:right="60" w:firstLine="648"/>
        <w:spacing w:after="0" w:line="263" w:lineRule="auto"/>
        <w:rPr>
          <w:sz w:val="20"/>
          <w:szCs w:val="20"/>
          <w:color w:val="auto"/>
        </w:rPr>
      </w:pPr>
      <w:r>
        <w:rPr>
          <w:rFonts w:ascii="Arial" w:cs="Arial" w:eastAsia="Arial" w:hAnsi="Arial"/>
          <w:sz w:val="18"/>
          <w:szCs w:val="18"/>
          <w:color w:val="auto"/>
        </w:rPr>
        <w:t>Net financial expenses increased by $0.8 million or 54.3% to $2.2 from $1.4 million for the year ended December 31, 2020 primarily resulting from (i) an increase in currency exchange fluctuations of $1.5 million (ii) a decrease in the interest on ad spend liability of $0.3 million, and (iii) a decrease of finance expenses of $0.4 million related to lease liabilities.</w:t>
      </w:r>
    </w:p>
    <w:p>
      <w:pPr>
        <w:sectPr>
          <w:pgSz w:w="11900" w:h="16838" w:orient="portrait"/>
          <w:cols w:equalWidth="0" w:num="1">
            <w:col w:w="11240"/>
          </w:cols>
          <w:pgMar w:left="320" w:top="341" w:right="339" w:bottom="1440" w:gutter="0" w:footer="0" w:header="0"/>
        </w:sectPr>
      </w:pP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thousands, except for percentages)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Tax benefit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860" w:type="dxa"/>
            <w:vAlign w:val="bottom"/>
            <w:gridSpan w:val="3"/>
          </w:tcPr>
          <w:p>
            <w:pPr>
              <w:ind w:left="540"/>
              <w:spacing w:after="0"/>
              <w:rPr>
                <w:sz w:val="20"/>
                <w:szCs w:val="20"/>
                <w:color w:val="auto"/>
              </w:rPr>
            </w:pPr>
            <w:r>
              <w:rPr>
                <w:rFonts w:ascii="Arial" w:cs="Arial" w:eastAsia="Arial" w:hAnsi="Arial"/>
                <w:sz w:val="18"/>
                <w:szCs w:val="18"/>
                <w:b w:val="1"/>
                <w:bCs w:val="1"/>
                <w:color w:val="auto"/>
              </w:rPr>
              <w:t>Year ended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8"/>
        </w:trPr>
        <w:tc>
          <w:tcPr>
            <w:tcW w:w="240" w:type="dxa"/>
            <w:vAlign w:val="bottom"/>
          </w:tcPr>
          <w:p>
            <w:pPr>
              <w:spacing w:after="0"/>
              <w:rPr>
                <w:sz w:val="17"/>
                <w:szCs w:val="17"/>
                <w:color w:val="auto"/>
              </w:rPr>
            </w:pPr>
          </w:p>
        </w:tc>
        <w:tc>
          <w:tcPr>
            <w:tcW w:w="860" w:type="dxa"/>
            <w:vAlign w:val="bottom"/>
          </w:tcPr>
          <w:p>
            <w:pPr>
              <w:jc w:val="right"/>
              <w:ind w:right="270"/>
              <w:spacing w:after="0" w:line="198" w:lineRule="exact"/>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1"/>
        </w:trPr>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(as reported)</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(as reported)</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486"/>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9,581</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948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(8,633)</w:t>
            </w:r>
          </w:p>
        </w:tc>
        <w:tc>
          <w:tcPr>
            <w:tcW w:w="3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-153670</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00" w:space="720"/>
            <w:col w:w="5320"/>
          </w:cols>
          <w:pgMar w:left="320" w:top="341" w:right="339" w:bottom="1440" w:gutter="0" w:footer="0" w:header="0"/>
          <w:type w:val="continuous"/>
        </w:sectPr>
      </w:pPr>
    </w:p>
    <w:p>
      <w:pPr>
        <w:spacing w:after="0" w:line="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Tax benefit decreased by $8.6 million or 90.1% to $0.9 million for the year ended December 31, 2021 from $9.6 million for the year ended December 31, 2020. The change is primarily attributable to an increase in profitability for the year ended December 31, 2021, and the utilization of carried forward losses for which no deferred tax assets had been recognized in the previous years.</w:t>
      </w:r>
    </w:p>
    <w:p>
      <w:pPr>
        <w:sectPr>
          <w:pgSz w:w="11900" w:h="16838" w:orient="portrait"/>
          <w:cols w:equalWidth="0" w:num="1">
            <w:col w:w="11240"/>
          </w:cols>
          <w:pgMar w:left="320" w:top="341" w:right="339" w:bottom="1440" w:gutter="0" w:footer="0" w:header="0"/>
          <w:type w:val="continuous"/>
        </w:sectPr>
      </w:pP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Profit for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thousands, except for percentages)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Profit for the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44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88"/>
              </w:rPr>
              <w:t>Year ended</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240" w:type="dxa"/>
            <w:vAlign w:val="bottom"/>
          </w:tcPr>
          <w:p>
            <w:pPr>
              <w:spacing w:after="0"/>
              <w:rPr>
                <w:sz w:val="20"/>
                <w:szCs w:val="20"/>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Pr>
          <w:p>
            <w:pPr>
              <w:spacing w:after="0"/>
              <w:rPr>
                <w:sz w:val="20"/>
                <w:szCs w:val="20"/>
                <w:color w:val="auto"/>
              </w:rPr>
            </w:pPr>
          </w:p>
        </w:tc>
        <w:tc>
          <w:tcPr>
            <w:tcW w:w="136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98"/>
        </w:trPr>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w w:val="94"/>
              </w:rPr>
              <w:t>2021</w:t>
            </w: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41"/>
        </w:trPr>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(as reported)</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(as reported)</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r>
      <w:tr>
        <w:trPr>
          <w:trHeight w:val="486"/>
        </w:trPr>
        <w:tc>
          <w:tcPr>
            <w:tcW w:w="240" w:type="dxa"/>
            <w:vAlign w:val="bottom"/>
          </w:tcPr>
          <w:p>
            <w:pPr>
              <w:jc w:val="right"/>
              <w:ind w:right="78"/>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2,139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73,223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71,084</w:t>
            </w:r>
          </w:p>
        </w:tc>
        <w:tc>
          <w:tcPr>
            <w:tcW w:w="3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3,323.2%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-153670</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341" w:right="339" w:bottom="1440" w:gutter="0" w:footer="0" w:header="0"/>
          <w:type w:val="continuous"/>
        </w:sectPr>
      </w:pPr>
    </w:p>
    <w:p>
      <w:pPr>
        <w:spacing w:after="0" w:line="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Profit increased by $71.1 million, or 3,323.2%, to $73.2 million for the year ended December 31, 2021 from $2.1 million for the year ended December 31, 2020, primarily attributable to an increase in revenue of $130 million, partially offset by a $11.8 million increase in cost of revenue (exclusive of depreciation and amortization), as well as a $37.7 million increase in operational expenses. Additionally, financing expenses, net, increased by $0.8 million and tax benefits decreased by $8.6 million.</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64" w:name="page65"/>
    <w:bookmarkEnd w:id="64"/>
    <w:p>
      <w:pPr>
        <w:jc w:val="right"/>
        <w:ind w:right="1600"/>
        <w:spacing w:after="0"/>
        <w:rPr>
          <w:sz w:val="20"/>
          <w:szCs w:val="20"/>
          <w:color w:val="auto"/>
        </w:rPr>
      </w:pPr>
      <w:r>
        <w:rPr>
          <w:rFonts w:ascii="Arial" w:cs="Arial" w:eastAsia="Arial" w:hAnsi="Arial"/>
          <w:sz w:val="18"/>
          <w:szCs w:val="18"/>
          <w:i w:val="1"/>
          <w:iCs w:val="1"/>
          <w:color w:val="auto"/>
        </w:rPr>
        <w:t>Total comprehensive income for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2220"/>
        <w:spacing w:after="0" w:line="301" w:lineRule="auto"/>
        <w:rPr>
          <w:sz w:val="20"/>
          <w:szCs w:val="20"/>
          <w:color w:val="auto"/>
        </w:rPr>
      </w:pPr>
      <w:r>
        <w:rPr>
          <w:rFonts w:ascii="Arial" w:cs="Arial" w:eastAsia="Arial" w:hAnsi="Arial"/>
          <w:sz w:val="16"/>
          <w:szCs w:val="16"/>
          <w:b w:val="1"/>
          <w:bCs w:val="1"/>
          <w:color w:val="auto"/>
        </w:rPr>
        <w:t xml:space="preserve">(in thousands, except for percentages) </w:t>
      </w:r>
      <w:r>
        <w:rPr>
          <w:rFonts w:ascii="Arial" w:cs="Arial" w:eastAsia="Arial" w:hAnsi="Arial"/>
          <w:sz w:val="16"/>
          <w:szCs w:val="16"/>
          <w:color w:val="auto"/>
        </w:rPr>
        <w:t>Total comprehensive income for the year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 profit margin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220" w:type="dxa"/>
            <w:vAlign w:val="bottom"/>
          </w:tcPr>
          <w:p>
            <w:pPr>
              <w:spacing w:after="0"/>
              <w:rPr>
                <w:sz w:val="20"/>
                <w:szCs w:val="20"/>
                <w:color w:val="auto"/>
              </w:rPr>
            </w:pPr>
          </w:p>
        </w:tc>
        <w:tc>
          <w:tcPr>
            <w:tcW w:w="252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20"/>
                <w:szCs w:val="20"/>
                <w:color w:val="auto"/>
              </w:rPr>
            </w:pPr>
          </w:p>
        </w:tc>
        <w:tc>
          <w:tcPr>
            <w:tcW w:w="134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98"/>
        </w:trPr>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w w:val="94"/>
              </w:rPr>
              <w:t>2021</w:t>
            </w: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41"/>
        </w:trPr>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(as reported)</w:t>
            </w:r>
          </w:p>
        </w:tc>
        <w:tc>
          <w:tcPr>
            <w:tcW w:w="28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(as reported)</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r>
      <w:tr>
        <w:trPr>
          <w:trHeight w:val="472"/>
        </w:trPr>
        <w:tc>
          <w:tcPr>
            <w:tcW w:w="220" w:type="dxa"/>
            <w:vAlign w:val="bottom"/>
          </w:tcPr>
          <w:p>
            <w:pPr>
              <w:jc w:val="right"/>
              <w:ind w:right="58"/>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4,975</w:t>
            </w:r>
          </w:p>
        </w:tc>
        <w:tc>
          <w:tcPr>
            <w:tcW w:w="320" w:type="dxa"/>
            <w:vAlign w:val="bottom"/>
          </w:tcPr>
          <w:p>
            <w:pPr>
              <w:jc w:val="right"/>
              <w:ind w:right="158"/>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70,591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65,616</w:t>
            </w:r>
          </w:p>
        </w:tc>
        <w:tc>
          <w:tcPr>
            <w:tcW w:w="3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1,319%</w:t>
            </w:r>
          </w:p>
        </w:tc>
      </w:tr>
      <w:tr>
        <w:trPr>
          <w:trHeight w:val="257"/>
        </w:trPr>
        <w:tc>
          <w:tcPr>
            <w:tcW w:w="22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-307975</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720"/>
            <w:col w:w="5340"/>
          </w:cols>
          <w:pgMar w:left="320" w:top="341" w:right="339" w:bottom="1440" w:gutter="0" w:footer="0" w:header="0"/>
        </w:sectPr>
      </w:pPr>
    </w:p>
    <w:p>
      <w:pPr>
        <w:spacing w:after="0" w:line="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Total comprehensive income for the year increased by $65.6 million, or 1,319%, to $70.6 million for the year ended December 31, 2021 from a total comprehensive income of $5 million for the year ended December 31, 2020, primarily attributable to the increase in profit for the year of $ 71.1 million as well as fluctuation in foreign currency translation differences for foreign operation loss of $5.5 million, primarily due to translation from the British pound sterling and the Japanese yen to U.S. dollars.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profit margin increased to 20.6% for the year ended December 31, 2021 from a net profit margin of 2.3% for the year ended December 31, 2020. This increase primarily resulted from a revenue increase of 61.4% compared to an increase in cost of revenues (exclusive of depreciation and amortization) of only 19.8%, as well as a 23.8% increase in the operational expenses and a decrease in tax benefit.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For discussion on comparison of the years ended December 31, 2020 and 2019, see the section titled “</w:t>
      </w:r>
      <w:r>
        <w:rPr>
          <w:rFonts w:ascii="Arial" w:cs="Arial" w:eastAsia="Arial" w:hAnsi="Arial"/>
          <w:sz w:val="16"/>
          <w:szCs w:val="16"/>
          <w:i w:val="1"/>
          <w:iCs w:val="1"/>
          <w:color w:val="auto"/>
        </w:rPr>
        <w:t>Results of Operations</w:t>
      </w:r>
      <w:r>
        <w:rPr>
          <w:rFonts w:ascii="Arial" w:cs="Arial" w:eastAsia="Arial" w:hAnsi="Arial"/>
          <w:sz w:val="16"/>
          <w:szCs w:val="16"/>
          <w:color w:val="auto"/>
        </w:rPr>
        <w:t>” disclosed in the section titled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of our Prospectus, which was filed with the SEC on June 21, 2021 and is hereby incorporated by reference herein and considered part of this Annual Report on Form 20-F only to the extent referenced.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 and Other Operating Metrics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review the following indicators to measure our performance, identify trends affecting our business, formulate business plans, and make strategic decisions. Increases or decreases in our key performance indicators may not correspond with increases or decreases in our revenue. In this section, we use the following terms: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Programmatic</w:t>
      </w:r>
      <w:r>
        <w:rPr>
          <w:rFonts w:ascii="Arial" w:cs="Arial" w:eastAsia="Arial" w:hAnsi="Arial"/>
          <w:sz w:val="18"/>
          <w:szCs w:val="18"/>
          <w:color w:val="auto"/>
        </w:rPr>
        <w:t>” means our end-to-end platform of programmatic advertising, which uses software and algorithms to match buyers and sellers of digital advertising in a technology-driven marketplace; transactions in our Programmatic activities are executed in milliseconds and beginning in 2020, human intervention or discretion for execution has significantly decreased.</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w:t>
      </w:r>
      <w:r>
        <w:rPr>
          <w:rFonts w:ascii="Arial" w:cs="Arial" w:eastAsia="Arial" w:hAnsi="Arial"/>
          <w:sz w:val="16"/>
          <w:szCs w:val="16"/>
          <w:color w:val="auto"/>
        </w:rPr>
        <w:t>” means our non-core performance activities consisting primarily of mobile-based solutions that help brands reach their users; revenue generated in the Performance activities is contingent on the occurrence of performance-based metrics, such as app downloads and installations.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the key performance indicators that we use to evaluate our business for the years presented.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Programmatic and Performance Revenue by Media Type and Device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Programmatic and Performance revenue by selected media type and device for the years ended December 31,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w w:val="91"/>
              </w:rPr>
              <w:t>2020 Revenue</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2021 Revenue</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Yearly revenue matrix</w:t>
            </w:r>
          </w:p>
        </w:tc>
        <w:tc>
          <w:tcPr>
            <w:tcW w:w="13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Programmatic</w:t>
            </w:r>
          </w:p>
        </w:tc>
        <w:tc>
          <w:tcPr>
            <w:tcW w:w="80" w:type="dxa"/>
            <w:vAlign w:val="bottom"/>
          </w:tcPr>
          <w:p>
            <w:pPr>
              <w:spacing w:after="0"/>
              <w:rPr>
                <w:sz w:val="17"/>
                <w:szCs w:val="17"/>
                <w:color w:val="auto"/>
              </w:rPr>
            </w:pPr>
          </w:p>
        </w:tc>
        <w:tc>
          <w:tcPr>
            <w:tcW w:w="1320" w:type="dxa"/>
            <w:vAlign w:val="bottom"/>
            <w:gridSpan w:val="3"/>
            <w:vMerge w:val="restart"/>
          </w:tcPr>
          <w:p>
            <w:pPr>
              <w:jc w:val="right"/>
              <w:ind w:right="280"/>
              <w:spacing w:after="0"/>
              <w:rPr>
                <w:sz w:val="20"/>
                <w:szCs w:val="20"/>
                <w:color w:val="auto"/>
              </w:rPr>
            </w:pPr>
            <w:r>
              <w:rPr>
                <w:rFonts w:ascii="Arial" w:cs="Arial" w:eastAsia="Arial" w:hAnsi="Arial"/>
                <w:sz w:val="18"/>
                <w:szCs w:val="18"/>
                <w:b w:val="1"/>
                <w:bCs w:val="1"/>
                <w:color w:val="auto"/>
                <w:w w:val="92"/>
              </w:rPr>
              <w:t>Performance</w:t>
            </w:r>
          </w:p>
        </w:tc>
        <w:tc>
          <w:tcPr>
            <w:tcW w:w="180" w:type="dxa"/>
            <w:vAlign w:val="bottom"/>
          </w:tcPr>
          <w:p>
            <w:pPr>
              <w:spacing w:after="0"/>
              <w:rPr>
                <w:sz w:val="17"/>
                <w:szCs w:val="17"/>
                <w:color w:val="auto"/>
              </w:rPr>
            </w:pPr>
          </w:p>
        </w:tc>
        <w:tc>
          <w:tcPr>
            <w:tcW w:w="1200" w:type="dxa"/>
            <w:vAlign w:val="bottom"/>
            <w:gridSpan w:val="2"/>
            <w:vMerge w:val="restart"/>
          </w:tcPr>
          <w:p>
            <w:pPr>
              <w:jc w:val="right"/>
              <w:ind w:right="580"/>
              <w:spacing w:after="0"/>
              <w:rPr>
                <w:sz w:val="20"/>
                <w:szCs w:val="20"/>
                <w:color w:val="auto"/>
              </w:rPr>
            </w:pPr>
            <w:r>
              <w:rPr>
                <w:rFonts w:ascii="Arial" w:cs="Arial" w:eastAsia="Arial" w:hAnsi="Arial"/>
                <w:sz w:val="18"/>
                <w:szCs w:val="18"/>
                <w:b w:val="1"/>
                <w:bCs w:val="1"/>
                <w:color w:val="auto"/>
              </w:rPr>
              <w:t>Group</w:t>
            </w:r>
          </w:p>
        </w:tc>
        <w:tc>
          <w:tcPr>
            <w:tcW w:w="13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Programmatic</w:t>
            </w:r>
          </w:p>
        </w:tc>
        <w:tc>
          <w:tcPr>
            <w:tcW w:w="60" w:type="dxa"/>
            <w:vAlign w:val="bottom"/>
          </w:tcPr>
          <w:p>
            <w:pPr>
              <w:spacing w:after="0"/>
              <w:rPr>
                <w:sz w:val="17"/>
                <w:szCs w:val="17"/>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Performance</w:t>
            </w:r>
          </w:p>
        </w:tc>
        <w:tc>
          <w:tcPr>
            <w:tcW w:w="180" w:type="dxa"/>
            <w:vAlign w:val="bottom"/>
          </w:tcPr>
          <w:p>
            <w:pPr>
              <w:spacing w:after="0"/>
              <w:rPr>
                <w:sz w:val="17"/>
                <w:szCs w:val="17"/>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rPr>
              <w:t>Group</w:t>
            </w:r>
          </w:p>
        </w:tc>
        <w:tc>
          <w:tcPr>
            <w:tcW w:w="0" w:type="dxa"/>
            <w:vAlign w:val="bottom"/>
          </w:tcPr>
          <w:p>
            <w:pPr>
              <w:spacing w:after="0"/>
              <w:rPr>
                <w:sz w:val="1"/>
                <w:szCs w:val="1"/>
                <w:color w:val="auto"/>
              </w:rPr>
            </w:pPr>
          </w:p>
        </w:tc>
      </w:tr>
      <w:tr>
        <w:trPr>
          <w:trHeight w:val="237"/>
        </w:trPr>
        <w:tc>
          <w:tcPr>
            <w:tcW w:w="3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(unaudited, in thousands)</w:t>
            </w:r>
          </w:p>
        </w:tc>
        <w:tc>
          <w:tcPr>
            <w:tcW w:w="130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30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Video</w:t>
            </w: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143,390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143,390</w:t>
            </w:r>
          </w:p>
        </w:tc>
        <w:tc>
          <w:tcPr>
            <w:tcW w:w="2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242,724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440"/>
              <w:spacing w:after="0" w:line="216" w:lineRule="exact"/>
              <w:rPr>
                <w:sz w:val="20"/>
                <w:szCs w:val="20"/>
                <w:color w:val="auto"/>
              </w:rPr>
            </w:pPr>
            <w:r>
              <w:rPr>
                <w:rFonts w:ascii="Arial" w:cs="Arial" w:eastAsia="Arial" w:hAnsi="Arial"/>
                <w:sz w:val="16"/>
                <w:szCs w:val="16"/>
                <w:i w:val="1"/>
                <w:iCs w:val="1"/>
                <w:color w:val="auto"/>
              </w:rPr>
              <w:t>CTV</w:t>
            </w:r>
            <w:r>
              <w:rPr>
                <w:rFonts w:ascii="Arial" w:cs="Arial" w:eastAsia="Arial" w:hAnsi="Arial"/>
                <w:sz w:val="25"/>
                <w:szCs w:val="25"/>
                <w:i w:val="1"/>
                <w:iCs w:val="1"/>
                <w:color w:val="auto"/>
                <w:vertAlign w:val="superscript"/>
              </w:rPr>
              <w:t>(1)</w:t>
            </w:r>
          </w:p>
        </w:tc>
        <w:tc>
          <w:tcPr>
            <w:tcW w:w="3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40"/>
              <w:spacing w:after="0" w:line="216" w:lineRule="exact"/>
              <w:rPr>
                <w:sz w:val="20"/>
                <w:szCs w:val="20"/>
                <w:color w:val="auto"/>
              </w:rPr>
            </w:pPr>
            <w:r>
              <w:rPr>
                <w:rFonts w:ascii="Arial" w:cs="Arial" w:eastAsia="Arial" w:hAnsi="Arial"/>
                <w:sz w:val="16"/>
                <w:szCs w:val="16"/>
                <w:i w:val="1"/>
                <w:iCs w:val="1"/>
                <w:color w:val="auto"/>
              </w:rPr>
              <w:t>Mobile</w:t>
            </w:r>
            <w:r>
              <w:rPr>
                <w:rFonts w:ascii="Arial" w:cs="Arial" w:eastAsia="Arial" w:hAnsi="Arial"/>
                <w:sz w:val="25"/>
                <w:szCs w:val="25"/>
                <w:i w:val="1"/>
                <w:iCs w:val="1"/>
                <w:color w:val="auto"/>
                <w:vertAlign w:val="superscript"/>
              </w:rPr>
              <w:t>(1)</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40"/>
              <w:spacing w:after="0" w:line="216" w:lineRule="exact"/>
              <w:rPr>
                <w:sz w:val="20"/>
                <w:szCs w:val="20"/>
                <w:color w:val="auto"/>
              </w:rPr>
            </w:pPr>
            <w:r>
              <w:rPr>
                <w:rFonts w:ascii="Arial" w:cs="Arial" w:eastAsia="Arial" w:hAnsi="Arial"/>
                <w:sz w:val="16"/>
                <w:szCs w:val="16"/>
                <w:i w:val="1"/>
                <w:iCs w:val="1"/>
                <w:color w:val="auto"/>
              </w:rPr>
              <w:t>Desktop</w:t>
            </w:r>
            <w:r>
              <w:rPr>
                <w:rFonts w:ascii="Arial" w:cs="Arial" w:eastAsia="Arial" w:hAnsi="Arial"/>
                <w:sz w:val="25"/>
                <w:szCs w:val="25"/>
                <w:i w:val="1"/>
                <w:iCs w:val="1"/>
                <w:color w:val="auto"/>
                <w:vertAlign w:val="superscript"/>
              </w:rPr>
              <w:t>(1)</w:t>
            </w:r>
          </w:p>
        </w:tc>
        <w:tc>
          <w:tcPr>
            <w:tcW w:w="3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Display</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18,235</w:t>
            </w:r>
          </w:p>
        </w:tc>
        <w:tc>
          <w:tcPr>
            <w:tcW w:w="420" w:type="dxa"/>
            <w:vAlign w:val="bottom"/>
            <w:gridSpan w:val="2"/>
          </w:tcPr>
          <w:p>
            <w:pPr>
              <w:jc w:val="right"/>
              <w:ind w:right="17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50,295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68,530</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23,891</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75,330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99,221</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Total Group</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161,625</w:t>
            </w:r>
          </w:p>
        </w:tc>
        <w:tc>
          <w:tcPr>
            <w:tcW w:w="420" w:type="dxa"/>
            <w:vAlign w:val="bottom"/>
            <w:gridSpan w:val="2"/>
          </w:tcPr>
          <w:p>
            <w:pPr>
              <w:jc w:val="right"/>
              <w:ind w:right="17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50,295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211,920</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266,616</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75,329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341,945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Percent of total Video revenue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spacing w:after="0"/>
              <w:rPr>
                <w:sz w:val="20"/>
                <w:szCs w:val="20"/>
                <w:color w:val="auto"/>
              </w:rPr>
            </w:pPr>
            <w:r>
              <w:rPr>
                <w:rFonts w:ascii="Arial" w:cs="Arial" w:eastAsia="Arial" w:hAnsi="Arial"/>
                <w:sz w:val="18"/>
                <w:szCs w:val="18"/>
                <w:b w:val="1"/>
                <w:bCs w:val="1"/>
                <w:i w:val="1"/>
                <w:iCs w:val="1"/>
                <w:color w:val="auto"/>
              </w:rPr>
              <w:t>Selected Device – CTV</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7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Year Ended</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7220" w:type="dxa"/>
            <w:vAlign w:val="bottom"/>
          </w:tcPr>
          <w:p>
            <w:pPr>
              <w:spacing w:after="0"/>
              <w:rPr>
                <w:sz w:val="18"/>
                <w:szCs w:val="18"/>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7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20"/>
                <w:szCs w:val="20"/>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Revenue (in thousands)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80,299</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 of Programmatic revenue</w:t>
            </w: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CTV revenue increased by $43.5 million, or 118%, to $80.3 million for the year ended December 31, 2021, from $36.8 million for the year ended December 31, 2020. The increase was mainly attributable to the increase in our CTV partners’ utilization of our end-to-end platform.</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b w:val="1"/>
                <w:bCs w:val="1"/>
                <w:i w:val="1"/>
                <w:iCs w:val="1"/>
                <w:color w:val="auto"/>
              </w:rPr>
              <w:t>Selected Media Type – Video</w:t>
            </w:r>
          </w:p>
        </w:tc>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38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Year ended</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38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38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20"/>
                <w:szCs w:val="20"/>
                <w:color w:val="auto"/>
              </w:rPr>
            </w:pPr>
          </w:p>
        </w:tc>
      </w:tr>
      <w:tr>
        <w:trPr>
          <w:trHeight w:val="243"/>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Revenue (in thousands)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143,390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242,724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43"/>
        </w:trPr>
        <w:tc>
          <w:tcPr>
            <w:tcW w:w="3840" w:type="dxa"/>
            <w:vAlign w:val="bottom"/>
          </w:tcPr>
          <w:p>
            <w:pPr>
              <w:spacing w:after="0"/>
              <w:rPr>
                <w:sz w:val="20"/>
                <w:szCs w:val="20"/>
                <w:color w:val="auto"/>
              </w:rPr>
            </w:pPr>
            <w:r>
              <w:rPr>
                <w:rFonts w:ascii="Arial" w:cs="Arial" w:eastAsia="Arial" w:hAnsi="Arial"/>
                <w:sz w:val="18"/>
                <w:szCs w:val="18"/>
                <w:color w:val="auto"/>
              </w:rPr>
              <w:t>% of Programmatic revenue</w:t>
            </w:r>
          </w:p>
        </w:tc>
        <w:tc>
          <w:tcPr>
            <w:tcW w:w="3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607"/>
        </w:trPr>
        <w:tc>
          <w:tcPr>
            <w:tcW w:w="3840" w:type="dxa"/>
            <w:vAlign w:val="bottom"/>
          </w:tcPr>
          <w:p>
            <w:pPr>
              <w:spacing w:after="0"/>
              <w:rPr>
                <w:sz w:val="24"/>
                <w:szCs w:val="24"/>
                <w:color w:val="auto"/>
              </w:rPr>
            </w:pPr>
          </w:p>
        </w:tc>
        <w:tc>
          <w:tcPr>
            <w:tcW w:w="3380" w:type="dxa"/>
            <w:vAlign w:val="bottom"/>
          </w:tcPr>
          <w:p>
            <w:pPr>
              <w:jc w:val="right"/>
              <w:ind w:right="14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1"/>
        </w:trPr>
        <w:tc>
          <w:tcPr>
            <w:tcW w:w="3840" w:type="dxa"/>
            <w:vAlign w:val="bottom"/>
            <w:tcBorders>
              <w:bottom w:val="single" w:sz="8" w:color="auto"/>
            </w:tcBorders>
          </w:tcPr>
          <w:p>
            <w:pPr>
              <w:spacing w:after="0"/>
              <w:rPr>
                <w:sz w:val="5"/>
                <w:szCs w:val="5"/>
                <w:color w:val="auto"/>
              </w:rPr>
            </w:pPr>
          </w:p>
        </w:tc>
        <w:tc>
          <w:tcPr>
            <w:tcW w:w="33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5" w:right="339" w:bottom="1440" w:gutter="0" w:footer="0" w:header="0"/>
        </w:sectPr>
      </w:pPr>
    </w:p>
    <w:bookmarkStart w:id="66" w:name="page67"/>
    <w:bookmarkEnd w:id="66"/>
    <w:p>
      <w:pPr>
        <w:jc w:val="both"/>
        <w:ind w:firstLine="648"/>
        <w:spacing w:after="0" w:line="263" w:lineRule="auto"/>
        <w:rPr>
          <w:sz w:val="20"/>
          <w:szCs w:val="20"/>
          <w:color w:val="auto"/>
        </w:rPr>
      </w:pPr>
      <w:r>
        <w:rPr>
          <w:rFonts w:ascii="Arial" w:cs="Arial" w:eastAsia="Arial" w:hAnsi="Arial"/>
          <w:sz w:val="18"/>
          <w:szCs w:val="18"/>
          <w:color w:val="auto"/>
        </w:rPr>
        <w:t>Video revenue increased by $99.3 million, or 69%, to $242.7 million for the year ended December 31, 2021, from $143.4 million for the year ended December 31, 2020. The increase was mainly attributable to the increased spending on our DSP platform driven by our strong expertise in digital video advertising.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spacing w:after="0"/>
              <w:rPr>
                <w:sz w:val="20"/>
                <w:szCs w:val="20"/>
                <w:color w:val="auto"/>
              </w:rPr>
            </w:pPr>
            <w:r>
              <w:rPr>
                <w:rFonts w:ascii="Arial" w:cs="Arial" w:eastAsia="Arial" w:hAnsi="Arial"/>
                <w:sz w:val="18"/>
                <w:szCs w:val="18"/>
                <w:b w:val="1"/>
                <w:bCs w:val="1"/>
                <w:i w:val="1"/>
                <w:iCs w:val="1"/>
                <w:color w:val="auto"/>
              </w:rPr>
              <w:t>Other Key Financial Metrics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7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Year ended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7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7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1"/>
              <w:spacing w:after="0" w:line="216" w:lineRule="exact"/>
              <w:rPr>
                <w:sz w:val="20"/>
                <w:szCs w:val="20"/>
                <w:color w:val="auto"/>
              </w:rPr>
            </w:pPr>
            <w:r>
              <w:rPr>
                <w:rFonts w:ascii="Arial" w:cs="Arial" w:eastAsia="Arial" w:hAnsi="Arial"/>
                <w:sz w:val="16"/>
                <w:szCs w:val="16"/>
                <w:b w:val="1"/>
                <w:bCs w:val="1"/>
                <w:color w:val="auto"/>
              </w:rPr>
              <w:t>2019</w:t>
            </w:r>
            <w:r>
              <w:rPr>
                <w:rFonts w:ascii="Arial" w:cs="Arial" w:eastAsia="Arial" w:hAnsi="Arial"/>
                <w:sz w:val="25"/>
                <w:szCs w:val="25"/>
                <w:b w:val="1"/>
                <w:bCs w:val="1"/>
                <w:color w:val="auto"/>
                <w:vertAlign w:val="superscript"/>
              </w:rPr>
              <w:t>(1)</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IFRS measures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ind w:left="440"/>
              <w:spacing w:after="0"/>
              <w:rPr>
                <w:sz w:val="20"/>
                <w:szCs w:val="20"/>
                <w:color w:val="auto"/>
              </w:rPr>
            </w:pPr>
            <w:r>
              <w:rPr>
                <w:rFonts w:ascii="Arial" w:cs="Arial" w:eastAsia="Arial" w:hAnsi="Arial"/>
                <w:sz w:val="18"/>
                <w:szCs w:val="18"/>
                <w:color w:val="auto"/>
              </w:rPr>
              <w:t>Revenue (in thousands)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325,760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211,920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341,945</w:t>
            </w:r>
          </w:p>
        </w:tc>
      </w:tr>
      <w:tr>
        <w:trPr>
          <w:trHeight w:val="216"/>
        </w:trPr>
        <w:tc>
          <w:tcPr>
            <w:tcW w:w="7220" w:type="dxa"/>
            <w:vAlign w:val="bottom"/>
            <w:shd w:val="clear" w:color="auto" w:fill="CCEEFF"/>
          </w:tcPr>
          <w:p>
            <w:pPr>
              <w:ind w:left="440"/>
              <w:spacing w:after="0" w:line="216" w:lineRule="exact"/>
              <w:rPr>
                <w:sz w:val="20"/>
                <w:szCs w:val="20"/>
                <w:color w:val="auto"/>
              </w:rPr>
            </w:pPr>
            <w:r>
              <w:rPr>
                <w:rFonts w:ascii="Arial" w:cs="Arial" w:eastAsia="Arial" w:hAnsi="Arial"/>
                <w:sz w:val="16"/>
                <w:szCs w:val="16"/>
                <w:color w:val="auto"/>
              </w:rPr>
              <w:t>Gross profit (in thousands)</w:t>
            </w:r>
            <w:r>
              <w:rPr>
                <w:rFonts w:ascii="Arial" w:cs="Arial" w:eastAsia="Arial" w:hAnsi="Arial"/>
                <w:sz w:val="25"/>
                <w:szCs w:val="25"/>
                <w:color w:val="auto"/>
                <w:vertAlign w:val="superscript"/>
              </w:rPr>
              <w:t>(4)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121,769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132,517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253,689</w:t>
            </w:r>
          </w:p>
        </w:tc>
      </w:tr>
      <w:tr>
        <w:trPr>
          <w:trHeight w:val="216"/>
        </w:trPr>
        <w:tc>
          <w:tcPr>
            <w:tcW w:w="7220" w:type="dxa"/>
            <w:vAlign w:val="bottom"/>
          </w:tcPr>
          <w:p>
            <w:pPr>
              <w:ind w:left="440"/>
              <w:spacing w:after="0"/>
              <w:rPr>
                <w:sz w:val="20"/>
                <w:szCs w:val="20"/>
                <w:color w:val="auto"/>
              </w:rPr>
            </w:pPr>
            <w:r>
              <w:rPr>
                <w:rFonts w:ascii="Arial" w:cs="Arial" w:eastAsia="Arial" w:hAnsi="Arial"/>
                <w:sz w:val="18"/>
                <w:szCs w:val="18"/>
                <w:color w:val="auto"/>
              </w:rPr>
              <w:t>Total comprehensive income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6,363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4,975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70,591</w:t>
            </w:r>
          </w:p>
        </w:tc>
      </w:tr>
      <w:tr>
        <w:trPr>
          <w:trHeight w:val="216"/>
        </w:trPr>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profit margin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7220" w:type="dxa"/>
            <w:vAlign w:val="bottom"/>
          </w:tcPr>
          <w:p>
            <w:pPr>
              <w:spacing w:after="0"/>
              <w:rPr>
                <w:sz w:val="20"/>
                <w:szCs w:val="20"/>
                <w:color w:val="auto"/>
              </w:rPr>
            </w:pPr>
            <w:r>
              <w:rPr>
                <w:rFonts w:ascii="Arial" w:cs="Arial" w:eastAsia="Arial" w:hAnsi="Arial"/>
                <w:sz w:val="18"/>
                <w:szCs w:val="18"/>
                <w:b w:val="1"/>
                <w:bCs w:val="1"/>
                <w:color w:val="auto"/>
              </w:rPr>
              <w:t>Non-IFRS measures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shd w:val="clear" w:color="auto" w:fill="CCEEFF"/>
          </w:tcPr>
          <w:p>
            <w:pPr>
              <w:ind w:left="440"/>
              <w:spacing w:after="0" w:line="216" w:lineRule="exact"/>
              <w:rPr>
                <w:sz w:val="20"/>
                <w:szCs w:val="20"/>
                <w:color w:val="auto"/>
              </w:rPr>
            </w:pPr>
            <w:r>
              <w:rPr>
                <w:rFonts w:ascii="Arial" w:cs="Arial" w:eastAsia="Arial" w:hAnsi="Arial"/>
                <w:sz w:val="16"/>
                <w:szCs w:val="16"/>
                <w:color w:val="auto"/>
              </w:rPr>
              <w:t>As adjusted (non-IFRS) revenue (in thousands)</w:t>
            </w:r>
            <w:r>
              <w:rPr>
                <w:rFonts w:ascii="Arial" w:cs="Arial" w:eastAsia="Arial" w:hAnsi="Arial"/>
                <w:sz w:val="25"/>
                <w:szCs w:val="25"/>
                <w:color w:val="auto"/>
                <w:vertAlign w:val="superscript"/>
              </w:rPr>
              <w:t>(3)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208,459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tcPr>
          <w:p>
            <w:pPr>
              <w:ind w:left="440"/>
              <w:spacing w:after="0" w:line="216" w:lineRule="exact"/>
              <w:rPr>
                <w:sz w:val="20"/>
                <w:szCs w:val="20"/>
                <w:color w:val="auto"/>
              </w:rPr>
            </w:pPr>
            <w:r>
              <w:rPr>
                <w:rFonts w:ascii="Arial" w:cs="Arial" w:eastAsia="Arial" w:hAnsi="Arial"/>
                <w:sz w:val="16"/>
                <w:szCs w:val="16"/>
                <w:color w:val="auto"/>
              </w:rPr>
              <w:t>Contribution ex-TAC (in thousands)</w:t>
            </w:r>
            <w:r>
              <w:rPr>
                <w:rFonts w:ascii="Arial" w:cs="Arial" w:eastAsia="Arial" w:hAnsi="Arial"/>
                <w:sz w:val="25"/>
                <w:szCs w:val="25"/>
                <w:color w:val="auto"/>
                <w:vertAlign w:val="superscript"/>
              </w:rPr>
              <w:t>(4)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164,038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184,282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301,975</w:t>
            </w:r>
          </w:p>
        </w:tc>
      </w:tr>
      <w:tr>
        <w:trPr>
          <w:trHeight w:val="216"/>
        </w:trPr>
        <w:tc>
          <w:tcPr>
            <w:tcW w:w="7220" w:type="dxa"/>
            <w:vAlign w:val="bottom"/>
            <w:shd w:val="clear" w:color="auto" w:fill="CCEEFF"/>
          </w:tcPr>
          <w:p>
            <w:pPr>
              <w:ind w:left="440"/>
              <w:spacing w:after="0" w:line="216" w:lineRule="exact"/>
              <w:rPr>
                <w:sz w:val="20"/>
                <w:szCs w:val="20"/>
                <w:color w:val="auto"/>
              </w:rPr>
            </w:pPr>
            <w:r>
              <w:rPr>
                <w:rFonts w:ascii="Arial" w:cs="Arial" w:eastAsia="Arial" w:hAnsi="Arial"/>
                <w:sz w:val="16"/>
                <w:szCs w:val="16"/>
                <w:color w:val="auto"/>
              </w:rPr>
              <w:t>Adjusted EBITDA</w:t>
            </w:r>
            <w:r>
              <w:rPr>
                <w:rFonts w:ascii="Arial" w:cs="Arial" w:eastAsia="Arial" w:hAnsi="Arial"/>
                <w:sz w:val="25"/>
                <w:szCs w:val="25"/>
                <w:color w:val="auto"/>
                <w:vertAlign w:val="superscript"/>
              </w:rPr>
              <w:t>(5)</w:t>
            </w:r>
            <w:r>
              <w:rPr>
                <w:rFonts w:ascii="Arial" w:cs="Arial" w:eastAsia="Arial" w:hAnsi="Arial"/>
                <w:sz w:val="16"/>
                <w:szCs w:val="16"/>
                <w:color w:val="auto"/>
              </w:rPr>
              <w:t xml:space="preserve"> (in thousands)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60,411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60,513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161,238</w:t>
            </w:r>
          </w:p>
        </w:tc>
      </w:tr>
      <w:tr>
        <w:trPr>
          <w:trHeight w:val="390"/>
        </w:trPr>
        <w:tc>
          <w:tcPr>
            <w:tcW w:w="7220" w:type="dxa"/>
            <w:vAlign w:val="bottom"/>
          </w:tcPr>
          <w:p>
            <w:pPr>
              <w:ind w:left="44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29"/>
                <w:szCs w:val="29"/>
                <w:color w:val="auto"/>
                <w:vertAlign w:val="superscript"/>
              </w:rPr>
              <w:t>(5)</w:t>
            </w:r>
          </w:p>
        </w:tc>
        <w:tc>
          <w:tcPr>
            <w:tcW w:w="18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0"/>
          <w:szCs w:val="20"/>
          <w:color w:val="auto"/>
        </w:rPr>
      </w:pPr>
    </w:p>
    <w:p>
      <w:pPr>
        <w:jc w:val="both"/>
        <w:ind w:left="340" w:right="2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Effective January 1, 2020, we recognize revenue on a net basis for the Programmatic activity, which had been recognized on a gross basis historically, including for the year ended December 31, 2019. See “—</w:t>
      </w:r>
      <w:r>
        <w:rPr>
          <w:rFonts w:ascii="Arial" w:cs="Arial" w:eastAsia="Arial" w:hAnsi="Arial"/>
          <w:sz w:val="18"/>
          <w:szCs w:val="18"/>
          <w:i w:val="1"/>
          <w:iCs w:val="1"/>
          <w:color w:val="auto"/>
        </w:rPr>
        <w:t>Critical Accounting Policies, Judgments and Estimates—Revenue Recognition</w:t>
      </w:r>
      <w:r>
        <w:rPr>
          <w:rFonts w:ascii="Arial" w:cs="Arial" w:eastAsia="Arial" w:hAnsi="Arial"/>
          <w:sz w:val="18"/>
          <w:szCs w:val="18"/>
          <w:color w:val="auto"/>
        </w:rPr>
        <w:t>” for information regarding the revenue recognition presentation change.</w:t>
      </w:r>
    </w:p>
    <w:p>
      <w:pPr>
        <w:spacing w:after="0" w:line="18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revenue for 2019 had been presented on an as adjusted (non-IFRS) basis to facilitate comparability, net profit margin for the year ended December 31, 2019 would be 3%.</w:t>
      </w:r>
    </w:p>
    <w:p>
      <w:pPr>
        <w:spacing w:after="0" w:line="170" w:lineRule="exact"/>
        <w:rPr>
          <w:rFonts w:ascii="Arial" w:cs="Arial" w:eastAsia="Arial" w:hAnsi="Arial"/>
          <w:sz w:val="18"/>
          <w:szCs w:val="18"/>
          <w:color w:val="auto"/>
        </w:rPr>
      </w:pPr>
    </w:p>
    <w:p>
      <w:pPr>
        <w:ind w:left="340" w:right="160" w:hanging="332"/>
        <w:spacing w:after="0" w:line="272"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 the year ended December 31, 2019, our audited revenue consists of (i) Programmatic revenue that is recognized on a gross basis (which includes the Programmatic media cost as defined below) and (ii) Performance revenue that is recognized on a gross basis (which includes the Performance media cost as defined below). For the year ended December 31, 2020 and 2021, our audited revenue consists of (i) Programmatic revenue that is recognized on a net basis (which excludes the Programmatic media cost as defined below) and (ii) Performance revenue that is recognized on a gross basis. For information regarding the revenue recognition presentation change of our Programmatic revenue, see “—</w:t>
      </w:r>
      <w:r>
        <w:rPr>
          <w:rFonts w:ascii="Arial" w:cs="Arial" w:eastAsia="Arial" w:hAnsi="Arial"/>
          <w:sz w:val="17"/>
          <w:szCs w:val="17"/>
          <w:i w:val="1"/>
          <w:iCs w:val="1"/>
          <w:color w:val="auto"/>
        </w:rPr>
        <w:t>Critical Accounting Policies,</w:t>
      </w:r>
      <w:r>
        <w:rPr>
          <w:rFonts w:ascii="Arial" w:cs="Arial" w:eastAsia="Arial" w:hAnsi="Arial"/>
          <w:sz w:val="17"/>
          <w:szCs w:val="17"/>
          <w:color w:val="auto"/>
        </w:rPr>
        <w:t xml:space="preserve"> </w:t>
      </w:r>
      <w:r>
        <w:rPr>
          <w:rFonts w:ascii="Arial" w:cs="Arial" w:eastAsia="Arial" w:hAnsi="Arial"/>
          <w:sz w:val="17"/>
          <w:szCs w:val="17"/>
          <w:i w:val="1"/>
          <w:iCs w:val="1"/>
          <w:color w:val="auto"/>
        </w:rPr>
        <w:t>Judgments and Estimates—Revenue Recognition”</w:t>
      </w:r>
      <w:r>
        <w:rPr>
          <w:rFonts w:ascii="Arial" w:cs="Arial" w:eastAsia="Arial" w:hAnsi="Arial"/>
          <w:sz w:val="17"/>
          <w:szCs w:val="17"/>
          <w:color w:val="auto"/>
        </w:rPr>
        <w:t>. We present as adjusted (non-IFRS) revenue to facilitate comparability solely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2019, which excludes programmatic media cost.</w:t>
      </w:r>
    </w:p>
    <w:p>
      <w:pPr>
        <w:spacing w:after="0" w:line="177"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Contribution ex-TAC is defined as our gross profit </w:t>
      </w:r>
      <w:r>
        <w:rPr>
          <w:rFonts w:ascii="Arial" w:cs="Arial" w:eastAsia="Arial" w:hAnsi="Arial"/>
          <w:sz w:val="18"/>
          <w:szCs w:val="18"/>
          <w:i w:val="1"/>
          <w:iCs w:val="1"/>
          <w:color w:val="auto"/>
        </w:rPr>
        <w:t>plus</w:t>
      </w:r>
      <w:r>
        <w:rPr>
          <w:rFonts w:ascii="Arial" w:cs="Arial" w:eastAsia="Arial" w:hAnsi="Arial"/>
          <w:sz w:val="18"/>
          <w:szCs w:val="18"/>
          <w:color w:val="auto"/>
        </w:rPr>
        <w:t xml:space="preserve"> depreciation and amortization attributable to cost of revenues and cost of revenues (exclusive of depreciation and amortization)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both the Programmatic media cost (as defined below) and the Performance media cost (as defined below) (collectively, “traffic acquisition costs” or “TAC”), since we arrange for the transfer of such costs from the supplier to the customer through the use of our platform and do not control such features prior to transfer to the customer.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jc w:val="both"/>
        <w:ind w:left="340"/>
        <w:spacing w:after="0" w:line="275" w:lineRule="auto"/>
        <w:rPr>
          <w:sz w:val="20"/>
          <w:szCs w:val="20"/>
          <w:color w:val="auto"/>
        </w:rPr>
      </w:pPr>
      <w:r>
        <w:rPr>
          <w:rFonts w:ascii="Arial" w:cs="Arial" w:eastAsia="Arial" w:hAnsi="Arial"/>
          <w:sz w:val="17"/>
          <w:szCs w:val="17"/>
          <w:color w:val="auto"/>
        </w:rPr>
        <w:t>Contribution ex-TAC is a supplemental measure of our financial performance that is not required by, or presented in accordance with, IFRS. Contribution ex-TAC should not be considered as an alternative to gross profit as a measure of financial performance. Contribution ex-TAC is a non-IFRS financial measure and should not be viewed in isolation. We include Contribution ex-TAC in this Annual Report because we believe it is a useful measure in assessing the performance of Tremor International because it facilitates a consistent comparison against our core business without considering the impact of traffic acquisition costs related to revenue reported on a gross basis.</w:t>
      </w:r>
    </w:p>
    <w:p>
      <w:pPr>
        <w:spacing w:after="0" w:line="17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We define Adjusted EBITDA as total comprehensive income for the period adjusted for foreign currency translation differences for foreign operations, financing expenses, net, tax benefit, depreciation and amortization, stock-based compensation, restructuring, acquisition and IPO-related costs and other expenses (income), net.</w:t>
      </w:r>
    </w:p>
    <w:p>
      <w:pPr>
        <w:spacing w:after="0" w:line="18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Adjusted EBITDA is included in this Annual Report because it is a key metric used by management and our board of directors to assess our financial performance. Adjusted EBITDA is frequently used by analysts, investors and other interested parties to evaluate companies in our industry. Management believes that Adjusted EBITDA is an appropriate measure of operating performance because it eliminates the impact of expenses that do not relate directly to the performance of the underlying business.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reconciles Contribution ex-TAC to the most directly comparable IFRS financial performance measure, which is gross profit: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Year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1"/>
        </w:trPr>
        <w:tc>
          <w:tcPr>
            <w:tcW w:w="66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90"/>
              </w:rPr>
              <w:t>December 31,</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23"/>
        </w:trPr>
        <w:tc>
          <w:tcPr>
            <w:tcW w:w="66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66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325,760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211,920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341,945</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(187,246)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(59,807)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(71,651)</w:t>
            </w:r>
          </w:p>
        </w:tc>
        <w:tc>
          <w:tcPr>
            <w:tcW w:w="8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attributable to Cost of Revenues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(19,596)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(16,605)</w:t>
            </w:r>
          </w:p>
        </w:tc>
        <w:tc>
          <w:tcPr>
            <w:tcW w:w="8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Gross profit (IFRS)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121,769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132,517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253,689</w:t>
            </w:r>
          </w:p>
        </w:tc>
        <w:tc>
          <w:tcPr>
            <w:tcW w:w="8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attributable to Cost of Revenues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19,596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16,605</w:t>
            </w:r>
          </w:p>
        </w:tc>
        <w:tc>
          <w:tcPr>
            <w:tcW w:w="8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187,246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59,807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71,651</w:t>
            </w:r>
          </w:p>
        </w:tc>
        <w:tc>
          <w:tcPr>
            <w:tcW w:w="8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3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Programmatic media costs</w:t>
            </w:r>
            <w:r>
              <w:rPr>
                <w:rFonts w:ascii="Arial" w:cs="Arial" w:eastAsia="Arial" w:hAnsi="Arial"/>
                <w:sz w:val="25"/>
                <w:szCs w:val="25"/>
                <w:color w:val="auto"/>
                <w:vertAlign w:val="superscript"/>
              </w:rPr>
              <w:t>(a)</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(117,301)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6340" w:type="dxa"/>
            <w:vAlign w:val="bottom"/>
          </w:tcPr>
          <w:p>
            <w:pPr>
              <w:spacing w:after="0" w:line="216" w:lineRule="exact"/>
              <w:rPr>
                <w:sz w:val="20"/>
                <w:szCs w:val="20"/>
                <w:color w:val="auto"/>
              </w:rPr>
            </w:pPr>
            <w:r>
              <w:rPr>
                <w:rFonts w:ascii="Arial" w:cs="Arial" w:eastAsia="Arial" w:hAnsi="Arial"/>
                <w:sz w:val="16"/>
                <w:szCs w:val="16"/>
                <w:color w:val="auto"/>
              </w:rPr>
              <w:t>Performance media cost</w:t>
            </w:r>
            <w:r>
              <w:rPr>
                <w:rFonts w:ascii="Arial" w:cs="Arial" w:eastAsia="Arial" w:hAnsi="Arial"/>
                <w:sz w:val="25"/>
                <w:szCs w:val="25"/>
                <w:color w:val="auto"/>
                <w:vertAlign w:val="superscript"/>
              </w:rPr>
              <w:t>(b)</w:t>
            </w: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(44,421)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(27,638)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(39,970)</w:t>
            </w:r>
          </w:p>
        </w:tc>
        <w:tc>
          <w:tcPr>
            <w:tcW w:w="860" w:type="dxa"/>
            <w:vAlign w:val="bottom"/>
          </w:tcPr>
          <w:p>
            <w:pPr>
              <w:spacing w:after="0"/>
              <w:rPr>
                <w:sz w:val="19"/>
                <w:szCs w:val="19"/>
                <w:color w:val="auto"/>
              </w:rPr>
            </w:pPr>
          </w:p>
        </w:tc>
      </w:tr>
      <w:tr>
        <w:trPr>
          <w:trHeight w:val="216"/>
        </w:trPr>
        <w:tc>
          <w:tcPr>
            <w:tcW w:w="66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Contribution ex-TAC (Non-IFRS)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164,038</w:t>
            </w:r>
          </w:p>
        </w:tc>
        <w:tc>
          <w:tcPr>
            <w:tcW w:w="10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184,282</w:t>
            </w:r>
          </w:p>
        </w:tc>
        <w:tc>
          <w:tcPr>
            <w:tcW w:w="26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301,975</w:t>
            </w:r>
          </w:p>
        </w:tc>
        <w:tc>
          <w:tcPr>
            <w:tcW w:w="8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04"/>
        </w:trPr>
        <w:tc>
          <w:tcPr>
            <w:tcW w:w="66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pacing w:after="0" w:line="283" w:lineRule="exact"/>
        <w:rPr>
          <w:sz w:val="20"/>
          <w:szCs w:val="20"/>
          <w:color w:val="auto"/>
        </w:rPr>
      </w:pPr>
    </w:p>
    <w:p>
      <w:pPr>
        <w:ind w:left="680" w:hanging="335"/>
        <w:spacing w:after="0"/>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Represents the costs of acquiring publishers’ advertising space that is purchased by advertisers via our Programmatic end-to-end solution.</w:t>
      </w:r>
    </w:p>
    <w:p>
      <w:pPr>
        <w:spacing w:after="0" w:line="236" w:lineRule="exact"/>
        <w:rPr>
          <w:rFonts w:ascii="Arial" w:cs="Arial" w:eastAsia="Arial" w:hAnsi="Arial"/>
          <w:sz w:val="17"/>
          <w:szCs w:val="17"/>
          <w:color w:val="auto"/>
        </w:rPr>
      </w:pPr>
    </w:p>
    <w:p>
      <w:pPr>
        <w:ind w:left="680" w:hanging="335"/>
        <w:spacing w:after="0"/>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Represents the costs of purchases of impressions from publishers on a cost per thousand impression basis in our Performance activities.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8" w:name="page69"/>
    <w:bookmarkEnd w:id="68"/>
    <w:p>
      <w:pPr>
        <w:jc w:val="both"/>
        <w:ind w:left="340" w:hanging="332"/>
        <w:spacing w:after="0" w:line="25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EBITDA is defined as total comprehensive income (loss) for the year adjusted for foreign currency translation differences for foreign operations, financing expenses, net, tax benefit (expenses), depreciation and amortization, stock-based compensation, restructuring and acquisition-related costs, IPO related one-time costs and other expenses, net. Adjusted EBITDA margin is defined as Adjusted EBITDA as a percentage of revenue. Adjusted EBITDA is a non-IFRS financial metric.</w:t>
      </w:r>
    </w:p>
    <w:p>
      <w:pPr>
        <w:spacing w:after="0" w:line="186" w:lineRule="exact"/>
        <w:rPr>
          <w:rFonts w:ascii="Arial" w:cs="Arial" w:eastAsia="Arial" w:hAnsi="Arial"/>
          <w:sz w:val="18"/>
          <w:szCs w:val="18"/>
          <w:color w:val="auto"/>
        </w:rPr>
      </w:pPr>
    </w:p>
    <w:p>
      <w:pPr>
        <w:ind w:left="340" w:right="80"/>
        <w:spacing w:after="0" w:line="277" w:lineRule="auto"/>
        <w:rPr>
          <w:rFonts w:ascii="Arial" w:cs="Arial" w:eastAsia="Arial" w:hAnsi="Arial"/>
          <w:sz w:val="18"/>
          <w:szCs w:val="18"/>
          <w:color w:val="auto"/>
        </w:rPr>
      </w:pPr>
      <w:r>
        <w:rPr>
          <w:rFonts w:ascii="Arial" w:cs="Arial" w:eastAsia="Arial" w:hAnsi="Arial"/>
          <w:sz w:val="18"/>
          <w:szCs w:val="18"/>
          <w:color w:val="auto"/>
        </w:rPr>
        <w:t>The following table reconciles Adjusted EBITDA to the most directly comparable IFRS financial performance measure, which is total comprehensive income (loss) for the year:</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Year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6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90"/>
              </w:rPr>
              <w:t>December 31,</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 for the year</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4,975</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70,591</w:t>
            </w:r>
          </w:p>
        </w:tc>
      </w:tr>
      <w:tr>
        <w:trPr>
          <w:trHeight w:val="216"/>
        </w:trPr>
        <w:tc>
          <w:tcPr>
            <w:tcW w:w="6340" w:type="dxa"/>
            <w:vAlign w:val="bottom"/>
          </w:tcPr>
          <w:p>
            <w:pPr>
              <w:ind w:left="420"/>
              <w:spacing w:after="0"/>
              <w:rPr>
                <w:sz w:val="20"/>
                <w:szCs w:val="20"/>
                <w:color w:val="auto"/>
              </w:rPr>
            </w:pPr>
            <w:r>
              <w:rPr>
                <w:rFonts w:ascii="Arial" w:cs="Arial" w:eastAsia="Arial" w:hAnsi="Arial"/>
                <w:sz w:val="18"/>
                <w:szCs w:val="18"/>
                <w:color w:val="auto"/>
              </w:rPr>
              <w:t>Foreign currency translation differences for foreign operation</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(2,836)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2,632</w:t>
            </w:r>
          </w:p>
        </w:tc>
      </w:tr>
      <w:tr>
        <w:trPr>
          <w:trHeight w:val="216"/>
        </w:trPr>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on income</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(9,581)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(948)</w:t>
            </w:r>
          </w:p>
        </w:tc>
      </w:tr>
      <w:tr>
        <w:trPr>
          <w:trHeight w:val="216"/>
        </w:trPr>
        <w:tc>
          <w:tcPr>
            <w:tcW w:w="6340" w:type="dxa"/>
            <w:vAlign w:val="bottom"/>
          </w:tcPr>
          <w:p>
            <w:pPr>
              <w:ind w:left="420"/>
              <w:spacing w:after="0"/>
              <w:rPr>
                <w:sz w:val="20"/>
                <w:szCs w:val="20"/>
                <w:color w:val="auto"/>
              </w:rPr>
            </w:pPr>
            <w:r>
              <w:rPr>
                <w:rFonts w:ascii="Arial" w:cs="Arial" w:eastAsia="Arial" w:hAnsi="Arial"/>
                <w:sz w:val="18"/>
                <w:szCs w:val="18"/>
                <w:color w:val="auto"/>
              </w:rPr>
              <w:t>Financial expense (income), net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1,417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2,187</w:t>
            </w:r>
          </w:p>
        </w:tc>
      </w:tr>
      <w:tr>
        <w:trPr>
          <w:trHeight w:val="216"/>
        </w:trPr>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45,187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40,259</w:t>
            </w:r>
          </w:p>
        </w:tc>
      </w:tr>
      <w:tr>
        <w:trPr>
          <w:trHeight w:val="216"/>
        </w:trPr>
        <w:tc>
          <w:tcPr>
            <w:tcW w:w="634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14,490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42,818</w:t>
            </w:r>
          </w:p>
        </w:tc>
      </w:tr>
      <w:tr>
        <w:trPr>
          <w:trHeight w:val="216"/>
        </w:trPr>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4,637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508</w:t>
            </w:r>
          </w:p>
        </w:tc>
      </w:tr>
      <w:tr>
        <w:trPr>
          <w:trHeight w:val="216"/>
        </w:trPr>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Acquisition-related cost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w:t>
            </w:r>
          </w:p>
        </w:tc>
      </w:tr>
      <w:tr>
        <w:trPr>
          <w:trHeight w:val="223"/>
        </w:trPr>
        <w:tc>
          <w:tcPr>
            <w:tcW w:w="6340" w:type="dxa"/>
            <w:vAlign w:val="bottom"/>
          </w:tcPr>
          <w:p>
            <w:pPr>
              <w:ind w:left="420"/>
              <w:spacing w:after="0"/>
              <w:rPr>
                <w:sz w:val="20"/>
                <w:szCs w:val="20"/>
                <w:color w:val="auto"/>
              </w:rPr>
            </w:pPr>
            <w:r>
              <w:rPr>
                <w:rFonts w:ascii="Arial" w:cs="Arial" w:eastAsia="Arial" w:hAnsi="Arial"/>
                <w:sz w:val="18"/>
                <w:szCs w:val="18"/>
                <w:color w:val="auto"/>
              </w:rPr>
              <w:t>IPO related one-time cost</w:t>
            </w:r>
          </w:p>
        </w:tc>
        <w:tc>
          <w:tcPr>
            <w:tcW w:w="2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2,938</w:t>
            </w:r>
          </w:p>
        </w:tc>
      </w:tr>
      <w:tr>
        <w:trPr>
          <w:trHeight w:val="216"/>
        </w:trPr>
        <w:tc>
          <w:tcPr>
            <w:tcW w:w="63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60,411</w:t>
            </w:r>
          </w:p>
        </w:tc>
        <w:tc>
          <w:tcPr>
            <w:tcW w:w="10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60,513</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161,238</w:t>
            </w:r>
          </w:p>
        </w:tc>
      </w:tr>
      <w:tr>
        <w:trPr>
          <w:trHeight w:val="20"/>
        </w:trPr>
        <w:tc>
          <w:tcPr>
            <w:tcW w:w="6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ex-TAC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contribution ex-TAC increased 164% from $184.3 million for the year ended December 31, 2020 to $302.0 million for the year ended December 31, 2021. The increase was mainly attributable to 65% increase in our Programmatic activities, from $161.6 million for the year ended December 31, 2020 to $266.6 million for the year ended December 31, 2021, which was mainly attributable to the continued growth trend in CTV, our self-serve platform as well as the DSP’s offerings in private marketplaces.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Our Adjusted EBITDA increased by $100.7 million from $60.5 million for the year ended December 31, 2020 to $161.2 million for the year ended December 31, 2021. The increase was primarily driven by strong customer adoption of data-powered end-to-end technology platform, increased CTV spend, and robust traction within self-service and tech-enabled programmatic activity.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0"/>
        </w:trPr>
        <w:tc>
          <w:tcPr>
            <w:tcW w:w="7280" w:type="dxa"/>
            <w:vAlign w:val="bottom"/>
          </w:tcPr>
          <w:p>
            <w:pPr>
              <w:spacing w:after="0"/>
              <w:rPr>
                <w:sz w:val="20"/>
                <w:szCs w:val="20"/>
                <w:color w:val="auto"/>
              </w:rPr>
            </w:pPr>
            <w:r>
              <w:rPr>
                <w:rFonts w:ascii="Arial" w:cs="Arial" w:eastAsia="Arial" w:hAnsi="Arial"/>
                <w:sz w:val="18"/>
                <w:szCs w:val="18"/>
                <w:b w:val="1"/>
                <w:bCs w:val="1"/>
                <w:i w:val="1"/>
                <w:iCs w:val="1"/>
                <w:color w:val="auto"/>
              </w:rPr>
              <w:t>Key Operating Metrics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7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4"/>
                <w:szCs w:val="24"/>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Active customers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80" w:type="dxa"/>
            <w:vAlign w:val="bottom"/>
          </w:tcPr>
          <w:p>
            <w:pPr>
              <w:ind w:left="440"/>
              <w:spacing w:after="0" w:line="216" w:lineRule="exact"/>
              <w:rPr>
                <w:sz w:val="20"/>
                <w:szCs w:val="20"/>
                <w:color w:val="auto"/>
              </w:rPr>
            </w:pPr>
            <w:r>
              <w:rPr>
                <w:rFonts w:ascii="Arial" w:cs="Arial" w:eastAsia="Arial" w:hAnsi="Arial"/>
                <w:sz w:val="16"/>
                <w:szCs w:val="16"/>
                <w:color w:val="auto"/>
              </w:rPr>
              <w:t>Number of active customers</w:t>
            </w:r>
            <w:r>
              <w:rPr>
                <w:rFonts w:ascii="Arial" w:cs="Arial" w:eastAsia="Arial" w:hAnsi="Arial"/>
                <w:sz w:val="25"/>
                <w:szCs w:val="25"/>
                <w:color w:val="auto"/>
                <w:vertAlign w:val="superscript"/>
              </w:rPr>
              <w:t>(1)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931</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764</w:t>
            </w: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 per active customer (in thousands)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w:t>
            </w:r>
          </w:p>
        </w:tc>
      </w:tr>
      <w:tr>
        <w:trPr>
          <w:trHeight w:val="216"/>
        </w:trPr>
        <w:tc>
          <w:tcPr>
            <w:tcW w:w="7280" w:type="dxa"/>
            <w:vAlign w:val="bottom"/>
          </w:tcPr>
          <w:p>
            <w:pPr>
              <w:ind w:left="440"/>
              <w:spacing w:after="0" w:line="216" w:lineRule="exact"/>
              <w:rPr>
                <w:sz w:val="20"/>
                <w:szCs w:val="20"/>
                <w:color w:val="auto"/>
              </w:rPr>
            </w:pPr>
            <w:r>
              <w:rPr>
                <w:rFonts w:ascii="Arial" w:cs="Arial" w:eastAsia="Arial" w:hAnsi="Arial"/>
                <w:sz w:val="16"/>
                <w:szCs w:val="16"/>
                <w:color w:val="auto"/>
              </w:rPr>
              <w:t>Contribution ex-TAC</w:t>
            </w:r>
            <w:r>
              <w:rPr>
                <w:rFonts w:ascii="Arial" w:cs="Arial" w:eastAsia="Arial" w:hAnsi="Arial"/>
                <w:sz w:val="25"/>
                <w:szCs w:val="25"/>
                <w:color w:val="auto"/>
                <w:vertAlign w:val="superscript"/>
              </w:rPr>
              <w:t>(2)</w:t>
            </w:r>
            <w:r>
              <w:rPr>
                <w:rFonts w:ascii="Arial" w:cs="Arial" w:eastAsia="Arial" w:hAnsi="Arial"/>
                <w:sz w:val="16"/>
                <w:szCs w:val="16"/>
                <w:color w:val="auto"/>
              </w:rPr>
              <w:t xml:space="preserve"> per active customer (in thousands)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207</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395</w:t>
            </w:r>
          </w:p>
        </w:tc>
      </w:tr>
      <w:tr>
        <w:trPr>
          <w:trHeight w:val="216"/>
        </w:trPr>
        <w:tc>
          <w:tcPr>
            <w:tcW w:w="7280" w:type="dxa"/>
            <w:vAlign w:val="bottom"/>
            <w:shd w:val="clear" w:color="auto" w:fill="CCEEFF"/>
          </w:tcPr>
          <w:p>
            <w:pPr>
              <w:ind w:left="440"/>
              <w:spacing w:after="0" w:line="216" w:lineRule="exact"/>
              <w:rPr>
                <w:sz w:val="20"/>
                <w:szCs w:val="20"/>
                <w:color w:val="auto"/>
              </w:rPr>
            </w:pPr>
            <w:r>
              <w:rPr>
                <w:rFonts w:ascii="Arial" w:cs="Arial" w:eastAsia="Arial" w:hAnsi="Arial"/>
                <w:sz w:val="16"/>
                <w:szCs w:val="16"/>
                <w:color w:val="auto"/>
              </w:rPr>
              <w:t>Contribution ex-TAC retention rate</w:t>
            </w:r>
            <w:r>
              <w:rPr>
                <w:rFonts w:ascii="Arial" w:cs="Arial" w:eastAsia="Arial" w:hAnsi="Arial"/>
                <w:sz w:val="25"/>
                <w:szCs w:val="25"/>
                <w:color w:val="auto"/>
                <w:vertAlign w:val="superscript"/>
              </w:rPr>
              <w:t>(3)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r>
      <w:tr>
        <w:trPr>
          <w:trHeight w:val="216"/>
        </w:trPr>
        <w:tc>
          <w:tcPr>
            <w:tcW w:w="7280" w:type="dxa"/>
            <w:vAlign w:val="bottom"/>
          </w:tcPr>
          <w:p>
            <w:pPr>
              <w:spacing w:after="0"/>
              <w:rPr>
                <w:sz w:val="20"/>
                <w:szCs w:val="20"/>
                <w:color w:val="auto"/>
              </w:rPr>
            </w:pPr>
            <w:r>
              <w:rPr>
                <w:rFonts w:ascii="Arial" w:cs="Arial" w:eastAsia="Arial" w:hAnsi="Arial"/>
                <w:sz w:val="18"/>
                <w:szCs w:val="18"/>
                <w:b w:val="1"/>
                <w:bCs w:val="1"/>
                <w:color w:val="auto"/>
              </w:rPr>
              <w:t>Active publishers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80" w:type="dxa"/>
            <w:vAlign w:val="bottom"/>
            <w:shd w:val="clear" w:color="auto" w:fill="CCEEFF"/>
          </w:tcPr>
          <w:p>
            <w:pPr>
              <w:ind w:left="440"/>
              <w:spacing w:after="0" w:line="216" w:lineRule="exact"/>
              <w:rPr>
                <w:sz w:val="20"/>
                <w:szCs w:val="20"/>
                <w:color w:val="auto"/>
              </w:rPr>
            </w:pPr>
            <w:r>
              <w:rPr>
                <w:rFonts w:ascii="Arial" w:cs="Arial" w:eastAsia="Arial" w:hAnsi="Arial"/>
                <w:sz w:val="16"/>
                <w:szCs w:val="16"/>
                <w:color w:val="auto"/>
              </w:rPr>
              <w:t>Number of active publishers</w:t>
            </w:r>
            <w:r>
              <w:rPr>
                <w:rFonts w:ascii="Arial" w:cs="Arial" w:eastAsia="Arial" w:hAnsi="Arial"/>
                <w:sz w:val="25"/>
                <w:szCs w:val="25"/>
                <w:color w:val="auto"/>
                <w:vertAlign w:val="superscript"/>
              </w:rPr>
              <w:t>(4)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1,578</w:t>
            </w:r>
          </w:p>
        </w:tc>
      </w:tr>
      <w:tr>
        <w:trPr>
          <w:trHeight w:val="216"/>
        </w:trPr>
        <w:tc>
          <w:tcPr>
            <w:tcW w:w="7280" w:type="dxa"/>
            <w:vAlign w:val="bottom"/>
          </w:tcPr>
          <w:p>
            <w:pPr>
              <w:spacing w:after="0"/>
              <w:rPr>
                <w:sz w:val="20"/>
                <w:szCs w:val="20"/>
                <w:color w:val="auto"/>
              </w:rPr>
            </w:pPr>
            <w:r>
              <w:rPr>
                <w:rFonts w:ascii="Arial" w:cs="Arial" w:eastAsia="Arial" w:hAnsi="Arial"/>
                <w:sz w:val="18"/>
                <w:szCs w:val="18"/>
                <w:b w:val="1"/>
                <w:bCs w:val="1"/>
                <w:color w:val="auto"/>
              </w:rPr>
              <w:t>Ad impressions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80" w:type="dxa"/>
            <w:vAlign w:val="bottom"/>
            <w:shd w:val="clear" w:color="auto" w:fill="CCEEFF"/>
          </w:tcPr>
          <w:p>
            <w:pPr>
              <w:ind w:left="440"/>
              <w:spacing w:after="0" w:line="216" w:lineRule="exact"/>
              <w:rPr>
                <w:sz w:val="20"/>
                <w:szCs w:val="20"/>
                <w:color w:val="auto"/>
              </w:rPr>
            </w:pPr>
            <w:r>
              <w:rPr>
                <w:rFonts w:ascii="Arial" w:cs="Arial" w:eastAsia="Arial" w:hAnsi="Arial"/>
                <w:sz w:val="16"/>
                <w:szCs w:val="16"/>
                <w:color w:val="auto"/>
              </w:rPr>
              <w:t>Number of ad impressions</w:t>
            </w:r>
            <w:r>
              <w:rPr>
                <w:rFonts w:ascii="Arial" w:cs="Arial" w:eastAsia="Arial" w:hAnsi="Arial"/>
                <w:sz w:val="25"/>
                <w:szCs w:val="25"/>
                <w:color w:val="auto"/>
                <w:vertAlign w:val="superscript"/>
              </w:rPr>
              <w:t>(5)</w:t>
            </w:r>
            <w:r>
              <w:rPr>
                <w:rFonts w:ascii="Arial" w:cs="Arial" w:eastAsia="Arial" w:hAnsi="Arial"/>
                <w:sz w:val="16"/>
                <w:szCs w:val="16"/>
                <w:color w:val="auto"/>
              </w:rPr>
              <w:t xml:space="preserve"> (in millions)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45,175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53,839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94,363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 active customer is defined as an advertiser, agency, trading desk or third-party DSP that has used our platform within a trailing 365-day period.</w:t>
      </w:r>
    </w:p>
    <w:p>
      <w:pPr>
        <w:spacing w:after="0" w:line="248" w:lineRule="exact"/>
        <w:rPr>
          <w:rFonts w:ascii="Arial" w:cs="Arial" w:eastAsia="Arial" w:hAnsi="Arial"/>
          <w:sz w:val="16"/>
          <w:szCs w:val="16"/>
          <w:color w:val="auto"/>
        </w:rPr>
      </w:pPr>
    </w:p>
    <w:p>
      <w:pPr>
        <w:jc w:val="both"/>
        <w:ind w:left="340" w:hanging="332"/>
        <w:spacing w:after="0" w:line="286"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Contribution ex-TAC is a non-IFRS financial measure and should not be viewed in isolation. We include Contribution ex-TAC in this Annual Report because we believe it is a useful measure in assessing the performance of Tremor International because it facilitates a consistent comparison against our core business without considering the impact of traffic acquisition costs related to revenue reported on a gross basis.</w:t>
      </w:r>
    </w:p>
    <w:p>
      <w:pPr>
        <w:spacing w:after="0" w:line="165" w:lineRule="exact"/>
        <w:rPr>
          <w:rFonts w:ascii="Arial" w:cs="Arial" w:eastAsia="Arial" w:hAnsi="Arial"/>
          <w:sz w:val="17"/>
          <w:szCs w:val="17"/>
          <w:color w:val="auto"/>
        </w:rPr>
      </w:pPr>
    </w:p>
    <w:p>
      <w:pPr>
        <w:jc w:val="both"/>
        <w:ind w:left="340" w:hanging="332"/>
        <w:spacing w:after="0" w:line="293"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Contribution ex-TAC retention rate is defined as contribution ex-TAC generated in the year ended December 31, 2020 from the customers who were existing customers as of December 31, 2019 as a percentage of the contribution ex-TAC generated in the year ended December 31, 2019 from the same group of customers. Contribution ex-TAC retention rate is intended to provide an aggregated view of positive and negative changes for the same group of customers over a 12-month period, including customer attrition, customer renewal, service upgrades and service downgrades. We consider all of our revenue to be recurring. Information on contribution ex-TAC retention rate for the year ended December 31, 2019 is not provided as it is not comparable due to the acquisition of RhythmOne in 2019. Information on Contribution ex-TAC retention rate is not provided on a quarterly basis.</w:t>
      </w:r>
    </w:p>
    <w:p>
      <w:pPr>
        <w:spacing w:after="0" w:line="164"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active publisher is defined as a publisher or third-party SSP that has used our platform within a trailing 365-day period.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ad impression is defined as each time an ad is displayed within our platform.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5.B 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December 31, 2021, we had cash of $367.7 million and a working capital, consisting of current operating assets less current operating liabilities, of $331.3 million. We believe our working capital is sufficient for our present working capital requirements. Additionally, we believe we have the ability to generate and obtain adequate amounts of cash to meet our requirements during fiscal year 2022 and in the long-term.</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summary consolidated cash flow information for the years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(as</w:t>
            </w:r>
          </w:p>
        </w:tc>
        <w:tc>
          <w:tcPr>
            <w:tcW w:w="12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(as</w:t>
            </w:r>
          </w:p>
        </w:tc>
        <w:tc>
          <w:tcPr>
            <w:tcW w:w="100" w:type="dxa"/>
            <w:vAlign w:val="bottom"/>
          </w:tcPr>
          <w:p>
            <w:pPr>
              <w:spacing w:after="0"/>
              <w:rPr>
                <w:sz w:val="18"/>
                <w:szCs w:val="18"/>
                <w:color w:val="auto"/>
              </w:rPr>
            </w:pPr>
          </w:p>
        </w:tc>
        <w:tc>
          <w:tcPr>
            <w:tcW w:w="180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84"/>
              </w:rPr>
              <w:t>(as</w:t>
            </w:r>
          </w:p>
        </w:tc>
      </w:tr>
      <w:tr>
        <w:trPr>
          <w:trHeight w:val="241"/>
        </w:trPr>
        <w:tc>
          <w:tcPr>
            <w:tcW w:w="66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reported)</w:t>
            </w:r>
          </w:p>
        </w:tc>
        <w:tc>
          <w:tcPr>
            <w:tcW w:w="12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reported)</w:t>
            </w:r>
          </w:p>
        </w:tc>
        <w:tc>
          <w:tcPr>
            <w:tcW w:w="100" w:type="dxa"/>
            <w:vAlign w:val="bottom"/>
          </w:tcPr>
          <w:p>
            <w:pPr>
              <w:spacing w:after="0"/>
              <w:rPr>
                <w:sz w:val="20"/>
                <w:szCs w:val="20"/>
                <w:color w:val="auto"/>
              </w:rPr>
            </w:pPr>
          </w:p>
        </w:tc>
        <w:tc>
          <w:tcPr>
            <w:tcW w:w="180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1"/>
              </w:rPr>
              <w:t>reported)</w:t>
            </w:r>
          </w:p>
        </w:tc>
      </w:tr>
      <w:tr>
        <w:trPr>
          <w:trHeight w:val="216"/>
        </w:trPr>
        <w:tc>
          <w:tcPr>
            <w:tcW w:w="66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45,073</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35,163</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170,088</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19,438</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4,919</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(16,487)</w:t>
            </w:r>
          </w:p>
        </w:tc>
        <w:tc>
          <w:tcPr>
            <w:tcW w:w="8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(52,793)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(22,367)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116,862</w:t>
            </w:r>
          </w:p>
        </w:tc>
        <w:tc>
          <w:tcPr>
            <w:tcW w:w="860" w:type="dxa"/>
            <w:vAlign w:val="bottom"/>
          </w:tcPr>
          <w:p>
            <w:pPr>
              <w:spacing w:after="0"/>
              <w:rPr>
                <w:sz w:val="18"/>
                <w:szCs w:val="18"/>
                <w:color w:val="auto"/>
              </w:rPr>
            </w:pPr>
          </w:p>
        </w:tc>
      </w:tr>
      <w:tr>
        <w:trPr>
          <w:trHeight w:val="621"/>
        </w:trPr>
        <w:tc>
          <w:tcPr>
            <w:tcW w:w="6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80" w:type="dxa"/>
            <w:vAlign w:val="bottom"/>
          </w:tcPr>
          <w:p>
            <w:pPr>
              <w:jc w:val="right"/>
              <w:ind w:right="119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1"/>
        </w:trPr>
        <w:tc>
          <w:tcPr>
            <w:tcW w:w="660" w:type="dxa"/>
            <w:vAlign w:val="bottom"/>
            <w:tcBorders>
              <w:bottom w:val="single" w:sz="8" w:color="auto"/>
            </w:tcBorders>
          </w:tcPr>
          <w:p>
            <w:pPr>
              <w:spacing w:after="0"/>
              <w:rPr>
                <w:sz w:val="5"/>
                <w:szCs w:val="5"/>
                <w:color w:val="auto"/>
              </w:rPr>
            </w:pPr>
          </w:p>
        </w:tc>
        <w:tc>
          <w:tcPr>
            <w:tcW w:w="426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cash provided by operating activities was $170.1 million for the year ended December 31, 2021, which is derived from our profit for the year of $73.2 million, adjusted for non-cash adjustments of $82.8 million, including depreciation and amortization of $40.3 million, stock-based compensation of $42.8 million, finance expense of $2.0 million and offset by tax benefit of $0.9 million, gain on leases of $0.4 million and gain on sale of business unit of $1.0 million. In addition, there was $14.1 million in cash provided by operating activities, which includes an increase in accounts receivable of $11.7 million, an increase in accounts payable of $26.8 million, a decrease in employee benefit of $0.1 million, income taxes paid, net of $1.0 million and interest paid, net of $0.1 million.</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Net cash provided by operating activities was $35.2 million for the year ended December 31, 2020, which is derived from our profit for the year of $2.1 million, adjusted for non-cash adjustments of $48.8 million, including depreciation and amortization of $45.2 million, finance expenses of $1.3 million, stock-based compensation of $14.5 million and offset by income tax of $9.6 million, gain on lease contract change of $2.1 million, gain on sale of business unit of $0.5 million as well as a cash adjustment primarily attributable to an increase in accounts payable of $25.9 million, an increase in accounts receivable of $39.4 million, income taxes paid, net of $1.7 million and interest paid, net of $0.6 million.</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Net cash provided by operating activities was $45.1 million for the year ended December 31, 2019, which is derived from our profit for the year of $6.2 million, adjusted for non-cash expenses of $42.1 million, including depreciation and amortization of $32.3 million, and stock-based compensation of $15.8 million, and offset by gain on leases of $2.7 million, gain on sale of business unit of $0.7 million and income tax of $2.6 million. There was an additional $3.3 million cash used, which includes a decrease in accounts receivable of $36.5 million, a decrease in accounts payable of $34.2 million, a decrease in employee benefit of $0.3 million, income taxes paid, net of $4.9 million and interest paid, net of $0.3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investing activities was $16.5 million for the year ended December 31, 2021, which is derived from acquisition of subsidiaries, net of cash acquired of $11.0 million, acquisition and capitalization of intangible assets of $5.0 million as well as the acquisition of fixed assets of $3.4 million, partially offset by lease payment receipt of $2.5 million and proceeds from sale of business unit of $0.4 million.</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investing activities was $4.9 million for the year ended December 31, 2020 and was primarily comprised of the acquisition of Unruly, net of cash acquired of $6.2 million, lease payment receipt of $2.9 million, repayment of loan of $0.8 million, proceeds from sale of business unit of $0.2 million, and a net decrease in pledged deposits of $0.2 million, partially offset by the acquisition and capitalization of intangible assets of $4.9 million and the acquisition of fixed assets of $0.6 million.</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provided by investing activities was $19.4 million for the year ended December 31, 2019, and was primarily comprised of the acquisition of RhythmOne, net of cash acquired of $23.7 million, lease payment receipt of $1.7 million and a net decrease in pledged deposits of $0.8 million, partially offset by the acquisition and capitalization of intangible assets of $5.7 million and the acquisition of fixed assets of $1.1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 financing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financing activities was $116.9 million for the year ended December 31, 2021, which is derived from issuance of share, net of issuance cost of $134.6 million and proceeds from exercise of share options of $1.4 million, partially offset by acquisition of own shares of $6.6 million and leases repayment of $10.0 million, as well as payment of financial liability of $2.4 million.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jc w:val="both"/>
        <w:ind w:right="20" w:firstLine="648"/>
        <w:spacing w:after="0" w:line="277" w:lineRule="auto"/>
        <w:rPr>
          <w:sz w:val="20"/>
          <w:szCs w:val="20"/>
          <w:color w:val="auto"/>
        </w:rPr>
      </w:pPr>
      <w:r>
        <w:rPr>
          <w:rFonts w:ascii="Arial" w:cs="Arial" w:eastAsia="Arial" w:hAnsi="Arial"/>
          <w:sz w:val="18"/>
          <w:szCs w:val="18"/>
          <w:color w:val="auto"/>
        </w:rPr>
        <w:t>Net cash used in financing activities was $22.4 million for the year ended December 31, 2020 and was primarily comprised of leases repayment of $13.4 million and buy back of shares of $10 million, partially offset by proceeds from exercise of share options of $1.0 million.</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Net cash used in financing activities was $52.8 million for the year ended December 31, 2019, comprised of repayment of loan of $17.3 million, leases repayment of $12.6 million and buy back of shares of $24.7 million, partially offset by proceeds from exercise of share options of $1.8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capital expenditures consist primarily of purchases of hardware and software. Our capital expenditures during the year ended December 31, 2021 were $2.1 million, a $0.3 million increase compared to the year ended December 31, 2020. We will continue to make capital expenditures to meet the expected growth of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periods presented, we did not engage in any off-balance sheet financing activities other than those disclosed in Note 20c to our audited consolidated financial statements included elsewhere in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2021, we had lease obligations of $15 million, of which, $7.1 million will be paid in the next 12 months and the remainder in periods thereafter.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5.C RESEARCH AND DEVELOPMENT, PATENTS AND LICENSES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model enables us to invest into our research and development efforts, which have helped grow our business. Our platform is extremely efficient at managing large amounts of complex data and is leveraged by both our advertisers and publishers in real time. We are committed to innovative technologies and rapid introduction of enhanced functionalities to support the dynamic needs of our advertisers and publishers. We therefore expect technology and development expense to increase as we continue to invest in our platform to support increased volume of advertising spend and our international expansion.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technology and development team is based in the United States and Israel and is comprised of 108 employees.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Research and development expenses were $18.4 million, $13.3 million and $16.2 million in 2021, 2020 and 2019, respectively, and accounted for 9.4%, 8.4% and 12.0% of our operating expenses in 2021, 2020 and 2019, respectively.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success depends, in part, on our ability to protect the proprietary methods and technologies that we develop or otherwise acquire. We rely on copyright, trade secret laws, confidentiality procedures and contractual provisions to protect our proprietary methods and technologies, and own more than 50 patents. We rely upon common law protection for certain marks, such as “Tremor” and “Tremor Video.”</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generally enter into confidentiality and/or license agreements with our employees, consultants, vendors and advertisers, and we generally limit access to, and distribution of, our proprietary information. We intend to pursue additional intellectual property protection to the extent we believe it would be beneficial and cost effective.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5.D TREND INFORMATION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Advertising Ecosystem. </w:t>
      </w:r>
      <w:r>
        <w:rPr>
          <w:rFonts w:ascii="Arial" w:cs="Arial" w:eastAsia="Arial" w:hAnsi="Arial"/>
          <w:sz w:val="17"/>
          <w:szCs w:val="17"/>
          <w:color w:val="auto"/>
        </w:rPr>
        <w:t>We believe that we are positioned to benefit from several trends in the evolving advertising ecosystem, including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proliferation of digital media consumption, adoption of programmatic advertising, a growing focus on premium formats such as Video and CTV, and the increasing sophistication of the overall digital landscape. We address the broad and evolving digital advertising market through our three core offerings, including a proprietary DSP solution that advertisers leverage to manage digital advertising campaigns, a proprietary SSP solution that publishers leverage to optimally monetize digital inventory and a proprietary DMP solution which is integrated with both our DSP and SSP solutions. Our versatile DMP solution benefits from vast amounts of data and provides optimal campaign recommendations for audience sets by employing advanced machine learning algorithms. The contextualization of the data synthesized by our DMP solution provides our advertisers with a comprehensive, personalized view of audiences, enabling more effective targeting across formats and devices and optimizes the monetization of publisher inventory. By combining these three proprietary solutions as well as integrations with industry leading partners, we provide an end-to-end software platform that is dynamic and flexible to our customers’ needs, which enables us to address more digital ad spend.</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Recently, the economic health of advertisers has been impacted by the COVID-19 pandemic and the resulting economic uncertainty in the United States and global economy beginning in the first and second quarter of 2020, and as a result advertising demand on our platform decreased in the first half of 2020, with recovery in the second half of 2020 and 2021, although some verticals have still not recovered. Many advertisers also suffered and continue to do so as a result of supply chain constraints which materially impacted certain verticals. Many marketing budgets, particularly those hardest hit by the pandemic such as travel, retail and hospitality, and those impacted by supply chain constraints such as automotive, decreased or paused their advertising spending as a response to the economic uncertainty, decline in business activity and other COVID-19 related impacts which have, and may continue to have, a negative impact on our revenue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5.E CRITICAL ACCOUNTING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Judgments and Estimates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prepare our audited consolidated financial statements in accordance with IFRS as issued by the IASB. In preparing our audited consolidated financial statements, we make assumptions, judgments and estimates that can have a significant impact on amounts reported in our audited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critical accounting estimates and judgments are described in Note 2 to our audited consolidated financial statements included elsewhere in this Annual Report.</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 accounting policy is deemed to be critical if it requires an accounting estimate to be made on assumptions about matters that are highly uncertain at the time the estimate is made, if different estimates reasonably could have been used, or if changes in the estimate that are reasonably possible could materially impact the financial statements. We consider the following to be our critical accounting policies and estimates.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section, we use the following terms: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Programmatic</w:t>
      </w:r>
      <w:r>
        <w:rPr>
          <w:rFonts w:ascii="Arial" w:cs="Arial" w:eastAsia="Arial" w:hAnsi="Arial"/>
          <w:sz w:val="18"/>
          <w:szCs w:val="18"/>
          <w:color w:val="auto"/>
        </w:rPr>
        <w:t>” means our end-to-end platform of programmatic advertising, which uses software and algorithms to match buyers and sellers of digital advertising in a technology-driven marketplace; transactions in our Programmatic activities are executed in milliseconds and beginning in 2020, human intervention or discretion for execution has significantly decreased.</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w:t>
      </w:r>
      <w:r>
        <w:rPr>
          <w:rFonts w:ascii="Arial" w:cs="Arial" w:eastAsia="Arial" w:hAnsi="Arial"/>
          <w:sz w:val="16"/>
          <w:szCs w:val="16"/>
          <w:color w:val="auto"/>
        </w:rPr>
        <w:t>” means our non-core performance activities consisting primarily of mobile-based solutions that help brands reach their users; revenue generated in the Performance activities is contingent on the occurrence of performance-based metrics, such as app downloads and installations.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both"/>
        <w:ind w:firstLine="648"/>
        <w:spacing w:after="0" w:line="254" w:lineRule="auto"/>
        <w:rPr>
          <w:sz w:val="20"/>
          <w:szCs w:val="20"/>
          <w:color w:val="auto"/>
        </w:rPr>
      </w:pPr>
      <w:r>
        <w:rPr>
          <w:rFonts w:ascii="Arial" w:cs="Arial" w:eastAsia="Arial" w:hAnsi="Arial"/>
          <w:sz w:val="18"/>
          <w:szCs w:val="18"/>
          <w:color w:val="auto"/>
        </w:rPr>
        <w:t>Our results of operations for the years ended December 31, 2020 and 2019 are not directly comparable as a result of presenting revenue on a net basis for the Programmatic revenue for the year ended December 31, 2020. In order to improve comparability and provide a more meaningful basis for comparison of our financial results, we have included certain unaudited, as adjusted (non-IFRS) revenue information solely for the year ended December 31, 2019 that give effect to the revenue recognition changes noted above as if such changes were applied on January 1, 2019. This as adjusted (non-IFRS) revenue information will not be provided for any period subsequent to the year ended December 31, 2019. The following table sets forth our results of operations for the years ended December 31, 2020 and 2019 on an as reported basis for 2020 and, to facilitate comparability, on an as reported and a comparable basis for 2019.</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Year Ended</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Year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41"/>
        </w:trPr>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December 31, 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2800" w:type="dxa"/>
            <w:vAlign w:val="bottom"/>
            <w:gridSpan w:val="4"/>
          </w:tcPr>
          <w:p>
            <w:pPr>
              <w:ind w:left="860"/>
              <w:spacing w:after="0"/>
              <w:rPr>
                <w:sz w:val="20"/>
                <w:szCs w:val="20"/>
                <w:color w:val="auto"/>
              </w:rPr>
            </w:pPr>
            <w:r>
              <w:rPr>
                <w:rFonts w:ascii="Arial" w:cs="Arial" w:eastAsia="Arial" w:hAnsi="Arial"/>
                <w:sz w:val="18"/>
                <w:szCs w:val="18"/>
                <w:b w:val="1"/>
                <w:bCs w:val="1"/>
                <w:color w:val="auto"/>
              </w:rPr>
              <w:t>% Change</w:t>
            </w:r>
          </w:p>
        </w:tc>
      </w:tr>
      <w:tr>
        <w:trPr>
          <w:trHeight w:val="198"/>
        </w:trPr>
        <w:tc>
          <w:tcPr>
            <w:tcW w:w="3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2020 vs. 2019</w:t>
            </w:r>
          </w:p>
        </w:tc>
        <w:tc>
          <w:tcPr>
            <w:tcW w:w="240" w:type="dxa"/>
            <w:vAlign w:val="bottom"/>
          </w:tcPr>
          <w:p>
            <w:pPr>
              <w:spacing w:after="0"/>
              <w:rPr>
                <w:sz w:val="17"/>
                <w:szCs w:val="17"/>
                <w:color w:val="auto"/>
              </w:rPr>
            </w:pPr>
          </w:p>
        </w:tc>
      </w:tr>
      <w:tr>
        <w:trPr>
          <w:trHeight w:val="206"/>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Programmatic</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As adjusted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2020 vs. 2019</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adjusted</w:t>
            </w:r>
          </w:p>
        </w:tc>
      </w:tr>
      <w:tr>
        <w:trPr>
          <w:trHeight w:val="251"/>
        </w:trPr>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7"/>
              </w:rPr>
              <w:t>As reported</w:t>
            </w:r>
          </w:p>
        </w:tc>
        <w:tc>
          <w:tcPr>
            <w:tcW w:w="200" w:type="dxa"/>
            <w:vAlign w:val="bottom"/>
          </w:tcPr>
          <w:p>
            <w:pPr>
              <w:spacing w:after="0"/>
              <w:rPr>
                <w:sz w:val="21"/>
                <w:szCs w:val="21"/>
                <w:color w:val="auto"/>
              </w:rPr>
            </w:pPr>
          </w:p>
        </w:tc>
        <w:tc>
          <w:tcPr>
            <w:tcW w:w="1300" w:type="dxa"/>
            <w:vAlign w:val="bottom"/>
            <w:gridSpan w:val="3"/>
          </w:tcPr>
          <w:p>
            <w:pPr>
              <w:jc w:val="center"/>
              <w:ind w:right="200"/>
              <w:spacing w:after="0" w:line="243" w:lineRule="exact"/>
              <w:rPr>
                <w:sz w:val="20"/>
                <w:szCs w:val="20"/>
                <w:color w:val="auto"/>
              </w:rPr>
            </w:pPr>
            <w:r>
              <w:rPr>
                <w:rFonts w:ascii="Arial" w:cs="Arial" w:eastAsia="Arial" w:hAnsi="Arial"/>
                <w:sz w:val="17"/>
                <w:szCs w:val="17"/>
                <w:b w:val="1"/>
                <w:bCs w:val="1"/>
                <w:color w:val="auto"/>
                <w:w w:val="87"/>
              </w:rPr>
              <w:t>media cost</w:t>
            </w:r>
            <w:r>
              <w:rPr>
                <w:rFonts w:ascii="Arial" w:cs="Arial" w:eastAsia="Arial" w:hAnsi="Arial"/>
                <w:sz w:val="28"/>
                <w:szCs w:val="28"/>
                <w:b w:val="1"/>
                <w:bCs w:val="1"/>
                <w:color w:val="auto"/>
                <w:w w:val="87"/>
                <w:vertAlign w:val="superscript"/>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(non-IFRS)</w:t>
            </w:r>
          </w:p>
        </w:tc>
        <w:tc>
          <w:tcPr>
            <w:tcW w:w="10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As reported</w:t>
            </w:r>
          </w:p>
        </w:tc>
        <w:tc>
          <w:tcPr>
            <w:tcW w:w="1440" w:type="dxa"/>
            <w:vAlign w:val="bottom"/>
            <w:gridSpan w:val="2"/>
          </w:tcPr>
          <w:p>
            <w:pPr>
              <w:ind w:left="120"/>
              <w:spacing w:after="0"/>
              <w:rPr>
                <w:sz w:val="20"/>
                <w:szCs w:val="20"/>
                <w:color w:val="auto"/>
              </w:rPr>
            </w:pPr>
            <w:r>
              <w:rPr>
                <w:rFonts w:ascii="Arial" w:cs="Arial" w:eastAsia="Arial" w:hAnsi="Arial"/>
                <w:sz w:val="18"/>
                <w:szCs w:val="18"/>
                <w:b w:val="1"/>
                <w:bCs w:val="1"/>
                <w:color w:val="auto"/>
              </w:rPr>
              <w:t>as reported</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(non-IFRS)</w:t>
            </w:r>
          </w:p>
        </w:tc>
      </w:tr>
      <w:tr>
        <w:trPr>
          <w:trHeight w:val="216"/>
        </w:trPr>
        <w:tc>
          <w:tcPr>
            <w:tcW w:w="3160" w:type="dxa"/>
            <w:vAlign w:val="bottom"/>
          </w:tcPr>
          <w:p>
            <w:pPr>
              <w:spacing w:after="0"/>
              <w:rPr>
                <w:sz w:val="20"/>
                <w:szCs w:val="20"/>
                <w:color w:val="auto"/>
              </w:rPr>
            </w:pPr>
            <w:r>
              <w:rPr>
                <w:rFonts w:ascii="Arial" w:cs="Arial" w:eastAsia="Arial" w:hAnsi="Arial"/>
                <w:sz w:val="18"/>
                <w:szCs w:val="18"/>
                <w:b w:val="1"/>
                <w:bCs w:val="1"/>
                <w:color w:val="auto"/>
                <w:w w:val="94"/>
              </w:rPr>
              <w:t>(in thousands, except for percentages)</w:t>
            </w: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3160" w:type="dxa"/>
            <w:vAlign w:val="bottom"/>
          </w:tcPr>
          <w:p>
            <w:pPr>
              <w:ind w:left="440"/>
              <w:spacing w:after="0"/>
              <w:rPr>
                <w:sz w:val="20"/>
                <w:szCs w:val="20"/>
                <w:color w:val="auto"/>
              </w:rPr>
            </w:pPr>
            <w:r>
              <w:rPr>
                <w:rFonts w:ascii="Arial" w:cs="Arial" w:eastAsia="Arial" w:hAnsi="Arial"/>
                <w:sz w:val="18"/>
                <w:szCs w:val="18"/>
                <w:color w:val="auto"/>
              </w:rPr>
              <w:t>Programmatic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241,464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(117,301)</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124,163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161,625</w:t>
            </w:r>
          </w:p>
        </w:tc>
        <w:tc>
          <w:tcPr>
            <w:tcW w:w="1440" w:type="dxa"/>
            <w:vAlign w:val="bottom"/>
            <w:gridSpan w:val="2"/>
          </w:tcPr>
          <w:p>
            <w:pPr>
              <w:ind w:left="860"/>
              <w:spacing w:after="0"/>
              <w:rPr>
                <w:sz w:val="20"/>
                <w:szCs w:val="20"/>
                <w:color w:val="auto"/>
              </w:rPr>
            </w:pPr>
            <w:r>
              <w:rPr>
                <w:rFonts w:ascii="Arial" w:cs="Arial" w:eastAsia="Arial" w:hAnsi="Arial"/>
                <w:sz w:val="18"/>
                <w:szCs w:val="18"/>
                <w:color w:val="auto"/>
              </w:rPr>
              <w:t>(33)%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23"/>
        </w:trPr>
        <w:tc>
          <w:tcPr>
            <w:tcW w:w="3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Performance</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84,296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84,296</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50,295</w:t>
            </w:r>
          </w:p>
        </w:tc>
        <w:tc>
          <w:tcPr>
            <w:tcW w:w="14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(40)%</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r>
      <w:tr>
        <w:trPr>
          <w:trHeight w:val="216"/>
        </w:trPr>
        <w:tc>
          <w:tcPr>
            <w:tcW w:w="3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216"/>
        </w:trPr>
        <w:tc>
          <w:tcPr>
            <w:tcW w:w="316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325,760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(117,301)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208,459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211,920</w:t>
            </w:r>
          </w:p>
        </w:tc>
        <w:tc>
          <w:tcPr>
            <w:tcW w:w="144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(35)%</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w:t>
            </w: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98"/>
        </w:trPr>
        <w:tc>
          <w:tcPr>
            <w:tcW w:w="31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Cost of revenues (exclusive of</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34"/>
        </w:trPr>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r>
      <w:tr>
        <w:trPr>
          <w:trHeight w:val="216"/>
        </w:trPr>
        <w:tc>
          <w:tcPr>
            <w:tcW w:w="3160" w:type="dxa"/>
            <w:vAlign w:val="bottom"/>
          </w:tcPr>
          <w:p>
            <w:pPr>
              <w:ind w:left="440"/>
              <w:spacing w:after="0"/>
              <w:rPr>
                <w:sz w:val="20"/>
                <w:szCs w:val="20"/>
                <w:color w:val="auto"/>
              </w:rPr>
            </w:pPr>
            <w:r>
              <w:rPr>
                <w:rFonts w:ascii="Arial" w:cs="Arial" w:eastAsia="Arial" w:hAnsi="Arial"/>
                <w:sz w:val="18"/>
                <w:szCs w:val="18"/>
                <w:color w:val="auto"/>
              </w:rPr>
              <w:t>Programmatic</w:t>
            </w: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142,676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(117,301)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25,375</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31,918</w:t>
            </w:r>
          </w:p>
        </w:tc>
        <w:tc>
          <w:tcPr>
            <w:tcW w:w="1440" w:type="dxa"/>
            <w:vAlign w:val="bottom"/>
            <w:gridSpan w:val="2"/>
          </w:tcPr>
          <w:p>
            <w:pPr>
              <w:ind w:left="860"/>
              <w:spacing w:after="0"/>
              <w:rPr>
                <w:sz w:val="20"/>
                <w:szCs w:val="20"/>
                <w:color w:val="auto"/>
              </w:rPr>
            </w:pPr>
            <w:r>
              <w:rPr>
                <w:rFonts w:ascii="Arial" w:cs="Arial" w:eastAsia="Arial" w:hAnsi="Arial"/>
                <w:sz w:val="18"/>
                <w:szCs w:val="18"/>
                <w:color w:val="auto"/>
              </w:rPr>
              <w:t>(78)%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23"/>
        </w:trPr>
        <w:tc>
          <w:tcPr>
            <w:tcW w:w="3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Performance</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44,570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44,570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27,889</w:t>
            </w:r>
          </w:p>
        </w:tc>
        <w:tc>
          <w:tcPr>
            <w:tcW w:w="14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(37)%</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16"/>
        </w:trPr>
        <w:tc>
          <w:tcPr>
            <w:tcW w:w="3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216"/>
        </w:trPr>
        <w:tc>
          <w:tcPr>
            <w:tcW w:w="316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187,246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(117,301)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69,945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59,807</w:t>
            </w:r>
          </w:p>
        </w:tc>
        <w:tc>
          <w:tcPr>
            <w:tcW w:w="144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(68)%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0"/>
          <w:szCs w:val="20"/>
          <w:color w:val="auto"/>
        </w:rPr>
      </w:pPr>
    </w:p>
    <w:p>
      <w:pPr>
        <w:ind w:left="3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order to facilitate comparability of our results of operations, we excluded Programmatic media cost for 2019. Programmatic media cost represents costs of acquiring publishers’ advertising space that is purchased by advertisers via our Programmatic end-to-end solution.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or cash flows is disclosed in Note 2 to our audited consolidated financial statements included elsewhere in this Annual Report.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6.A. DIRECTORS AND SENIOR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Senior Management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regarding our executive officers and directors, including their ages as of the date of this Annual Report: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2280" w:type="dxa"/>
            <w:vAlign w:val="bottom"/>
          </w:tcPr>
          <w:p>
            <w:pPr>
              <w:jc w:val="center"/>
              <w:ind w:left="1650"/>
              <w:spacing w:after="0"/>
              <w:rPr>
                <w:sz w:val="20"/>
                <w:szCs w:val="20"/>
                <w:color w:val="auto"/>
              </w:rPr>
            </w:pPr>
            <w:r>
              <w:rPr>
                <w:rFonts w:ascii="Arial" w:cs="Arial" w:eastAsia="Arial" w:hAnsi="Arial"/>
                <w:sz w:val="18"/>
                <w:szCs w:val="18"/>
                <w:b w:val="1"/>
                <w:bCs w:val="1"/>
                <w:color w:val="auto"/>
                <w:w w:val="88"/>
              </w:rPr>
              <w:t>Age</w:t>
            </w:r>
          </w:p>
        </w:tc>
        <w:tc>
          <w:tcPr>
            <w:tcW w:w="5640" w:type="dxa"/>
            <w:vAlign w:val="bottom"/>
          </w:tcPr>
          <w:p>
            <w:pPr>
              <w:ind w:left="2540"/>
              <w:spacing w:after="0"/>
              <w:rPr>
                <w:sz w:val="20"/>
                <w:szCs w:val="20"/>
                <w:color w:val="auto"/>
              </w:rPr>
            </w:pPr>
            <w:r>
              <w:rPr>
                <w:rFonts w:ascii="Arial" w:cs="Arial" w:eastAsia="Arial" w:hAnsi="Arial"/>
                <w:sz w:val="18"/>
                <w:szCs w:val="18"/>
                <w:b w:val="1"/>
                <w:bCs w:val="1"/>
                <w:color w:val="auto"/>
              </w:rPr>
              <w:t>Position</w:t>
            </w:r>
          </w:p>
        </w:tc>
      </w:tr>
      <w:tr>
        <w:trPr>
          <w:trHeight w:val="270"/>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Executive Officers</w:t>
            </w:r>
          </w:p>
        </w:tc>
        <w:tc>
          <w:tcPr>
            <w:tcW w:w="2280" w:type="dxa"/>
            <w:vAlign w:val="bottom"/>
          </w:tcPr>
          <w:p>
            <w:pPr>
              <w:spacing w:after="0"/>
              <w:rPr>
                <w:sz w:val="23"/>
                <w:szCs w:val="23"/>
                <w:color w:val="auto"/>
              </w:rPr>
            </w:pPr>
          </w:p>
        </w:tc>
        <w:tc>
          <w:tcPr>
            <w:tcW w:w="5640" w:type="dxa"/>
            <w:vAlign w:val="bottom"/>
          </w:tcPr>
          <w:p>
            <w:pPr>
              <w:spacing w:after="0"/>
              <w:rPr>
                <w:sz w:val="23"/>
                <w:szCs w:val="23"/>
                <w:color w:val="auto"/>
              </w:rPr>
            </w:pPr>
          </w:p>
        </w:tc>
      </w:tr>
      <w:tr>
        <w:trPr>
          <w:trHeight w:val="27"/>
        </w:trPr>
        <w:tc>
          <w:tcPr>
            <w:tcW w:w="33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Ofer Druker</w:t>
            </w:r>
          </w:p>
        </w:tc>
        <w:tc>
          <w:tcPr>
            <w:tcW w:w="2280" w:type="dxa"/>
            <w:vAlign w:val="bottom"/>
            <w:tcBorders>
              <w:bottom w:val="single" w:sz="8" w:color="CCEEFF"/>
            </w:tcBorders>
            <w:shd w:val="clear" w:color="auto" w:fill="CCEEFF"/>
          </w:tcPr>
          <w:p>
            <w:pPr>
              <w:jc w:val="center"/>
              <w:ind w:left="1650"/>
              <w:spacing w:after="0"/>
              <w:rPr>
                <w:sz w:val="20"/>
                <w:szCs w:val="20"/>
                <w:color w:val="auto"/>
              </w:rPr>
            </w:pPr>
            <w:r>
              <w:rPr>
                <w:rFonts w:ascii="Arial" w:cs="Arial" w:eastAsia="Arial" w:hAnsi="Arial"/>
                <w:sz w:val="18"/>
                <w:szCs w:val="18"/>
                <w:color w:val="auto"/>
                <w:w w:val="89"/>
              </w:rPr>
              <w:t>56</w:t>
            </w:r>
          </w:p>
        </w:tc>
        <w:tc>
          <w:tcPr>
            <w:tcW w:w="5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Chief Executive Officer and Director</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Sagi Niri</w:t>
            </w:r>
          </w:p>
        </w:tc>
        <w:tc>
          <w:tcPr>
            <w:tcW w:w="2280" w:type="dxa"/>
            <w:vAlign w:val="bottom"/>
          </w:tcPr>
          <w:p>
            <w:pPr>
              <w:jc w:val="center"/>
              <w:ind w:left="1650"/>
              <w:spacing w:after="0"/>
              <w:rPr>
                <w:sz w:val="20"/>
                <w:szCs w:val="20"/>
                <w:color w:val="auto"/>
              </w:rPr>
            </w:pPr>
            <w:r>
              <w:rPr>
                <w:rFonts w:ascii="Arial" w:cs="Arial" w:eastAsia="Arial" w:hAnsi="Arial"/>
                <w:sz w:val="18"/>
                <w:szCs w:val="18"/>
                <w:color w:val="auto"/>
                <w:w w:val="89"/>
              </w:rPr>
              <w:t>50</w:t>
            </w:r>
          </w:p>
        </w:tc>
        <w:tc>
          <w:tcPr>
            <w:tcW w:w="5640" w:type="dxa"/>
            <w:vAlign w:val="bottom"/>
          </w:tcPr>
          <w:p>
            <w:pPr>
              <w:ind w:left="100"/>
              <w:spacing w:after="0"/>
              <w:rPr>
                <w:sz w:val="20"/>
                <w:szCs w:val="20"/>
                <w:color w:val="auto"/>
              </w:rPr>
            </w:pPr>
            <w:r>
              <w:rPr>
                <w:rFonts w:ascii="Arial" w:cs="Arial" w:eastAsia="Arial" w:hAnsi="Arial"/>
                <w:sz w:val="18"/>
                <w:szCs w:val="18"/>
                <w:color w:val="auto"/>
              </w:rPr>
              <w:t>Chief Financial Officer and Director</w:t>
            </w:r>
          </w:p>
        </w:tc>
      </w:tr>
      <w:tr>
        <w:trPr>
          <w:trHeight w:val="27"/>
        </w:trPr>
        <w:tc>
          <w:tcPr>
            <w:tcW w:w="33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Yaniv Carmi</w:t>
            </w:r>
          </w:p>
        </w:tc>
        <w:tc>
          <w:tcPr>
            <w:tcW w:w="2280" w:type="dxa"/>
            <w:vAlign w:val="bottom"/>
            <w:tcBorders>
              <w:bottom w:val="single" w:sz="8" w:color="CCEEFF"/>
            </w:tcBorders>
            <w:shd w:val="clear" w:color="auto" w:fill="CCEEFF"/>
          </w:tcPr>
          <w:p>
            <w:pPr>
              <w:jc w:val="center"/>
              <w:ind w:left="1650"/>
              <w:spacing w:after="0"/>
              <w:rPr>
                <w:sz w:val="20"/>
                <w:szCs w:val="20"/>
                <w:color w:val="auto"/>
              </w:rPr>
            </w:pPr>
            <w:r>
              <w:rPr>
                <w:rFonts w:ascii="Arial" w:cs="Arial" w:eastAsia="Arial" w:hAnsi="Arial"/>
                <w:sz w:val="18"/>
                <w:szCs w:val="18"/>
                <w:color w:val="auto"/>
                <w:w w:val="89"/>
              </w:rPr>
              <w:t>40</w:t>
            </w:r>
          </w:p>
        </w:tc>
        <w:tc>
          <w:tcPr>
            <w:tcW w:w="5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Chief Operating Officer and Director</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Directors</w:t>
            </w:r>
          </w:p>
        </w:tc>
        <w:tc>
          <w:tcPr>
            <w:tcW w:w="2280" w:type="dxa"/>
            <w:vAlign w:val="bottom"/>
          </w:tcPr>
          <w:p>
            <w:pPr>
              <w:spacing w:after="0"/>
              <w:rPr>
                <w:sz w:val="21"/>
                <w:szCs w:val="21"/>
                <w:color w:val="auto"/>
              </w:rPr>
            </w:pPr>
          </w:p>
        </w:tc>
        <w:tc>
          <w:tcPr>
            <w:tcW w:w="5640" w:type="dxa"/>
            <w:vAlign w:val="bottom"/>
          </w:tcPr>
          <w:p>
            <w:pPr>
              <w:spacing w:after="0"/>
              <w:rPr>
                <w:sz w:val="21"/>
                <w:szCs w:val="21"/>
                <w:color w:val="auto"/>
              </w:rPr>
            </w:pPr>
          </w:p>
        </w:tc>
      </w:tr>
      <w:tr>
        <w:trPr>
          <w:trHeight w:val="27"/>
        </w:trPr>
        <w:tc>
          <w:tcPr>
            <w:tcW w:w="33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Christopher Stibbs</w:t>
            </w:r>
          </w:p>
        </w:tc>
        <w:tc>
          <w:tcPr>
            <w:tcW w:w="2280" w:type="dxa"/>
            <w:vAlign w:val="bottom"/>
            <w:tcBorders>
              <w:bottom w:val="single" w:sz="8" w:color="CCEEFF"/>
            </w:tcBorders>
            <w:shd w:val="clear" w:color="auto" w:fill="CCEEFF"/>
          </w:tcPr>
          <w:p>
            <w:pPr>
              <w:jc w:val="center"/>
              <w:ind w:left="1650"/>
              <w:spacing w:after="0"/>
              <w:rPr>
                <w:sz w:val="20"/>
                <w:szCs w:val="20"/>
                <w:color w:val="auto"/>
              </w:rPr>
            </w:pPr>
            <w:r>
              <w:rPr>
                <w:rFonts w:ascii="Arial" w:cs="Arial" w:eastAsia="Arial" w:hAnsi="Arial"/>
                <w:sz w:val="18"/>
                <w:szCs w:val="18"/>
                <w:color w:val="auto"/>
                <w:w w:val="89"/>
              </w:rPr>
              <w:t>59</w:t>
            </w:r>
          </w:p>
        </w:tc>
        <w:tc>
          <w:tcPr>
            <w:tcW w:w="5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Non-Executive Chairperson</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Rebekah Brooks</w:t>
            </w:r>
          </w:p>
        </w:tc>
        <w:tc>
          <w:tcPr>
            <w:tcW w:w="2280" w:type="dxa"/>
            <w:vAlign w:val="bottom"/>
          </w:tcPr>
          <w:p>
            <w:pPr>
              <w:jc w:val="center"/>
              <w:ind w:left="1650"/>
              <w:spacing w:after="0"/>
              <w:rPr>
                <w:sz w:val="20"/>
                <w:szCs w:val="20"/>
                <w:color w:val="auto"/>
              </w:rPr>
            </w:pPr>
            <w:r>
              <w:rPr>
                <w:rFonts w:ascii="Arial" w:cs="Arial" w:eastAsia="Arial" w:hAnsi="Arial"/>
                <w:sz w:val="18"/>
                <w:szCs w:val="18"/>
                <w:color w:val="auto"/>
                <w:w w:val="89"/>
              </w:rPr>
              <w:t>51</w:t>
            </w:r>
          </w:p>
        </w:tc>
        <w:tc>
          <w:tcPr>
            <w:tcW w:w="5640" w:type="dxa"/>
            <w:vAlign w:val="bottom"/>
          </w:tcPr>
          <w:p>
            <w:pPr>
              <w:ind w:left="100"/>
              <w:spacing w:after="0"/>
              <w:rPr>
                <w:sz w:val="20"/>
                <w:szCs w:val="20"/>
                <w:color w:val="auto"/>
              </w:rPr>
            </w:pPr>
            <w:r>
              <w:rPr>
                <w:rFonts w:ascii="Arial" w:cs="Arial" w:eastAsia="Arial" w:hAnsi="Arial"/>
                <w:sz w:val="18"/>
                <w:szCs w:val="18"/>
                <w:color w:val="auto"/>
              </w:rPr>
              <w:t>Non-Executive Director</w:t>
            </w:r>
          </w:p>
        </w:tc>
      </w:tr>
      <w:tr>
        <w:trPr>
          <w:trHeight w:val="27"/>
        </w:trPr>
        <w:tc>
          <w:tcPr>
            <w:tcW w:w="33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Norm Johnston</w:t>
            </w:r>
          </w:p>
        </w:tc>
        <w:tc>
          <w:tcPr>
            <w:tcW w:w="2280" w:type="dxa"/>
            <w:vAlign w:val="bottom"/>
            <w:tcBorders>
              <w:bottom w:val="single" w:sz="8" w:color="CCEEFF"/>
            </w:tcBorders>
            <w:shd w:val="clear" w:color="auto" w:fill="CCEEFF"/>
          </w:tcPr>
          <w:p>
            <w:pPr>
              <w:jc w:val="center"/>
              <w:ind w:left="1650"/>
              <w:spacing w:after="0"/>
              <w:rPr>
                <w:sz w:val="20"/>
                <w:szCs w:val="20"/>
                <w:color w:val="auto"/>
              </w:rPr>
            </w:pPr>
            <w:r>
              <w:rPr>
                <w:rFonts w:ascii="Arial" w:cs="Arial" w:eastAsia="Arial" w:hAnsi="Arial"/>
                <w:sz w:val="18"/>
                <w:szCs w:val="18"/>
                <w:color w:val="auto"/>
                <w:w w:val="89"/>
              </w:rPr>
              <w:t>55</w:t>
            </w:r>
          </w:p>
        </w:tc>
        <w:tc>
          <w:tcPr>
            <w:tcW w:w="5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Non-Executive Director</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Neil Jones</w:t>
            </w:r>
          </w:p>
        </w:tc>
        <w:tc>
          <w:tcPr>
            <w:tcW w:w="2280" w:type="dxa"/>
            <w:vAlign w:val="bottom"/>
          </w:tcPr>
          <w:p>
            <w:pPr>
              <w:jc w:val="center"/>
              <w:ind w:left="1650"/>
              <w:spacing w:after="0"/>
              <w:rPr>
                <w:sz w:val="20"/>
                <w:szCs w:val="20"/>
                <w:color w:val="auto"/>
              </w:rPr>
            </w:pPr>
            <w:r>
              <w:rPr>
                <w:rFonts w:ascii="Arial" w:cs="Arial" w:eastAsia="Arial" w:hAnsi="Arial"/>
                <w:sz w:val="18"/>
                <w:szCs w:val="18"/>
                <w:color w:val="auto"/>
                <w:w w:val="89"/>
              </w:rPr>
              <w:t>55</w:t>
            </w:r>
          </w:p>
        </w:tc>
        <w:tc>
          <w:tcPr>
            <w:tcW w:w="5640" w:type="dxa"/>
            <w:vAlign w:val="bottom"/>
          </w:tcPr>
          <w:p>
            <w:pPr>
              <w:ind w:left="100"/>
              <w:spacing w:after="0"/>
              <w:rPr>
                <w:sz w:val="20"/>
                <w:szCs w:val="20"/>
                <w:color w:val="auto"/>
              </w:rPr>
            </w:pPr>
            <w:r>
              <w:rPr>
                <w:rFonts w:ascii="Arial" w:cs="Arial" w:eastAsia="Arial" w:hAnsi="Arial"/>
                <w:sz w:val="18"/>
                <w:szCs w:val="18"/>
                <w:color w:val="auto"/>
              </w:rPr>
              <w:t>Senior Non-Executive Director</w:t>
            </w:r>
          </w:p>
        </w:tc>
      </w:tr>
      <w:tr>
        <w:trPr>
          <w:trHeight w:val="27"/>
        </w:trPr>
        <w:tc>
          <w:tcPr>
            <w:tcW w:w="33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Joanna Parnell</w:t>
            </w:r>
          </w:p>
        </w:tc>
        <w:tc>
          <w:tcPr>
            <w:tcW w:w="2280" w:type="dxa"/>
            <w:vAlign w:val="bottom"/>
            <w:tcBorders>
              <w:bottom w:val="single" w:sz="8" w:color="CCEEFF"/>
            </w:tcBorders>
            <w:shd w:val="clear" w:color="auto" w:fill="CCEEFF"/>
          </w:tcPr>
          <w:p>
            <w:pPr>
              <w:jc w:val="center"/>
              <w:ind w:left="1650"/>
              <w:spacing w:after="0"/>
              <w:rPr>
                <w:sz w:val="20"/>
                <w:szCs w:val="20"/>
                <w:color w:val="auto"/>
              </w:rPr>
            </w:pPr>
            <w:r>
              <w:rPr>
                <w:rFonts w:ascii="Arial" w:cs="Arial" w:eastAsia="Arial" w:hAnsi="Arial"/>
                <w:sz w:val="18"/>
                <w:szCs w:val="18"/>
                <w:color w:val="auto"/>
                <w:w w:val="89"/>
              </w:rPr>
              <w:t>43</w:t>
            </w:r>
          </w:p>
        </w:tc>
        <w:tc>
          <w:tcPr>
            <w:tcW w:w="5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Non-Executive Director</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Lisa Klinger</w:t>
            </w:r>
          </w:p>
        </w:tc>
        <w:tc>
          <w:tcPr>
            <w:tcW w:w="2280" w:type="dxa"/>
            <w:vAlign w:val="bottom"/>
          </w:tcPr>
          <w:p>
            <w:pPr>
              <w:jc w:val="center"/>
              <w:ind w:left="1650"/>
              <w:spacing w:after="0"/>
              <w:rPr>
                <w:sz w:val="20"/>
                <w:szCs w:val="20"/>
                <w:color w:val="auto"/>
              </w:rPr>
            </w:pPr>
            <w:r>
              <w:rPr>
                <w:rFonts w:ascii="Arial" w:cs="Arial" w:eastAsia="Arial" w:hAnsi="Arial"/>
                <w:sz w:val="18"/>
                <w:szCs w:val="18"/>
                <w:color w:val="auto"/>
                <w:w w:val="89"/>
              </w:rPr>
              <w:t>54</w:t>
            </w:r>
          </w:p>
        </w:tc>
        <w:tc>
          <w:tcPr>
            <w:tcW w:w="5640" w:type="dxa"/>
            <w:vAlign w:val="bottom"/>
          </w:tcPr>
          <w:p>
            <w:pPr>
              <w:ind w:left="100"/>
              <w:spacing w:after="0"/>
              <w:rPr>
                <w:sz w:val="20"/>
                <w:szCs w:val="20"/>
                <w:color w:val="auto"/>
              </w:rPr>
            </w:pPr>
            <w:r>
              <w:rPr>
                <w:rFonts w:ascii="Arial" w:cs="Arial" w:eastAsia="Arial" w:hAnsi="Arial"/>
                <w:sz w:val="18"/>
                <w:szCs w:val="18"/>
                <w:color w:val="auto"/>
              </w:rPr>
              <w:t>Non-Executive Director</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b w:val="1"/>
          <w:bCs w:val="1"/>
          <w:i w:val="1"/>
          <w:iCs w:val="1"/>
          <w:color w:val="auto"/>
        </w:rPr>
        <w:t xml:space="preserve">Christopher Stibbs. </w:t>
      </w:r>
      <w:r>
        <w:rPr>
          <w:rFonts w:ascii="Arial" w:cs="Arial" w:eastAsia="Arial" w:hAnsi="Arial"/>
          <w:sz w:val="17"/>
          <w:szCs w:val="17"/>
          <w:color w:val="auto"/>
        </w:rPr>
        <w:t>Christopher Stibbs has served as a member of our board of directors since May 2019 and as our Non-Executive Chairperson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September 2020. Mr. Stibbs has over 25 years of experience as an executive in the media industry. Until August 2019, he served as Chief Executive of The Economist Group (the “Economist Group”). Previously, he held a number of roles within the group including head of the Economist Intelligence Unit (the group’s B2B arm) and Chief Financial Officer. He is credited with overseeing the Economist Group’s resilience and transition through the unprecedented disruption experienced by the publishing industry over the last 15 years. Prior to this, he held positions with Pearson and Incisive Media. Mr. Stibbs is a fellow of the Associations of Chartered Accountants and Corporate Treasurers, currently has a non-executive role at Oxford University Press and serves as a chairman of Times Higher Education, IWSR and Sagacity Data Solutions.</w:t>
      </w:r>
    </w:p>
    <w:p>
      <w:pPr>
        <w:spacing w:after="0" w:line="177"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b w:val="1"/>
          <w:bCs w:val="1"/>
          <w:i w:val="1"/>
          <w:iCs w:val="1"/>
          <w:color w:val="auto"/>
        </w:rPr>
        <w:t xml:space="preserve">Rebekah Brooks. </w:t>
      </w:r>
      <w:r>
        <w:rPr>
          <w:rFonts w:ascii="Arial" w:cs="Arial" w:eastAsia="Arial" w:hAnsi="Arial"/>
          <w:sz w:val="16"/>
          <w:szCs w:val="16"/>
          <w:color w:val="auto"/>
        </w:rPr>
        <w:t>Rebekah Brooks has served as a member of our board of directors since June 2020. Ms. Brooks is Chief Executive of News UK &amp;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Ireland, part of News Corp, a position she has held since 2015, having first joined News Corp in 1989. Starting as a feature writer for the News of the World, Ms. Brooks became Editor of the Sun in 2003, a position she held until July 2009. From 2009 to 2011, she served as Chief Executive of News International, overseeing a period of significant growth in newspaper operating profit and paid-for digital subscriptions at The Times. Following her appointment as Chief Executive of News Corp UK and Ireland, Ms. Brooks restructured the Sun’s online strategy, driving significant audience growth. In 2016, she also oversaw the strategic acquisition of Wireless, the owner of national radio brands talkSPORT, talkRADIO and Virgin Radio. Ms. Brooks is a Director of News Group Newspapers and Times Newspapers, and a Non-Executive Director of PA Group, the parent company of the Press Association.</w:t>
      </w:r>
    </w:p>
    <w:p>
      <w:pPr>
        <w:spacing w:after="0" w:line="166"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b w:val="1"/>
          <w:bCs w:val="1"/>
          <w:i w:val="1"/>
          <w:iCs w:val="1"/>
          <w:color w:val="auto"/>
        </w:rPr>
        <w:t xml:space="preserve">Norm Johnston. </w:t>
      </w:r>
      <w:r>
        <w:rPr>
          <w:rFonts w:ascii="Arial" w:cs="Arial" w:eastAsia="Arial" w:hAnsi="Arial"/>
          <w:sz w:val="17"/>
          <w:szCs w:val="17"/>
          <w:color w:val="auto"/>
        </w:rPr>
        <w:t>Norm Johnston has served as a member of our board of directors since June 2020. Mr. Johnston is a veteran employee of News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 Until recently, he was the Chief Executive Officer of Unruly, the digital advertising business we acquired in January 2020, a position he has held since April 2018. Mr. Johnston has been involved in digital marketing since joining the marketing industry’s first digital agency, Modem Media in 1995. In 1997, Mr. Johnston launched Modem Media UK (“Modem”), one of Britain’s first and most successful digital agencies. After Modem was acquired by Publicis in 2007, Mr. Johnston joined WPP and GroupM’s Mindshare, where he held a number of senior roles between 2007 and 2018, including Global Chief Digital Officer and Global Chief Executive Officer of its FAST business unit, a team of over 2,000 specialists in 115 cities working for global clients such as Unilever, Nestle and American Express. Mr. Johnston holds a B.A. in Economics and Political Science from Northwestern University and an M.B.A. in Marketing from Duke University’s Fuqua School of Business.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both"/>
        <w:ind w:firstLine="441"/>
        <w:spacing w:after="0" w:line="272" w:lineRule="auto"/>
        <w:rPr>
          <w:sz w:val="20"/>
          <w:szCs w:val="20"/>
          <w:color w:val="auto"/>
        </w:rPr>
      </w:pPr>
      <w:r>
        <w:rPr>
          <w:rFonts w:ascii="Arial" w:cs="Arial" w:eastAsia="Arial" w:hAnsi="Arial"/>
          <w:sz w:val="17"/>
          <w:szCs w:val="17"/>
          <w:b w:val="1"/>
          <w:bCs w:val="1"/>
          <w:i w:val="1"/>
          <w:iCs w:val="1"/>
          <w:color w:val="auto"/>
        </w:rPr>
        <w:t xml:space="preserve">Neil Jones. </w:t>
      </w:r>
      <w:r>
        <w:rPr>
          <w:rFonts w:ascii="Arial" w:cs="Arial" w:eastAsia="Arial" w:hAnsi="Arial"/>
          <w:sz w:val="17"/>
          <w:szCs w:val="17"/>
          <w:color w:val="auto"/>
        </w:rPr>
        <w:t>Neil Jones has served as a member of our board of directors since 2014. Mr. Jones is currently Corporate Development Director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Huntsworth/Ashfield the international Pharma Commercialisation business created by the merger of Huntsworth &amp; UDG in August 2021. Prior to that he was Chief Operating Officer and Chief Financial Officer at Huntsworth plc from February 2016. He joined Huntsworth plc from ITE Group plc, the international exhibitions group, where he held the position of Chief Financial Officer from 2008. Between 2003 and 2008, Mr. Jones was Group Finance Director at Tarsus Group plc, and prior to that, he spent five years as Finance Director (Europe) at Advanstar Communications. Mr. Jones has a B.A. in Economics from the University of Manchester and completed the ACA in July 1990 with Price Waterhouse. Mr Jones is also a non-executive Director of Sivota plc a UK listed special opportunities vehicle that invests in undervalued technology business.</w:t>
      </w:r>
    </w:p>
    <w:p>
      <w:pPr>
        <w:spacing w:after="0" w:line="177"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b w:val="1"/>
          <w:bCs w:val="1"/>
          <w:i w:val="1"/>
          <w:iCs w:val="1"/>
          <w:color w:val="auto"/>
        </w:rPr>
        <w:t xml:space="preserve">Joanna Parnell. </w:t>
      </w:r>
      <w:r>
        <w:rPr>
          <w:rFonts w:ascii="Arial" w:cs="Arial" w:eastAsia="Arial" w:hAnsi="Arial"/>
          <w:sz w:val="17"/>
          <w:szCs w:val="17"/>
          <w:color w:val="auto"/>
        </w:rPr>
        <w:t>Joanna Parnell has served as a member of our board of directors since 2014. Ms. Parnell is the Co-Founder of strategic marketing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consultancy Project50, designing commercial growth strategies for C-suite business leaders in the United Kingdom and the United States. Previously, Ms. Parnell was Managing Partner at Wavemaker (formerly MEC), one of the world’s leading media agency networks and owned by WPP plc, where she led the paid digital and data team, overseeing the agency’s focus on data driven campaigns. Prior to moving to Wavemaker in March 2016, Ms. Parnell was Director of Strategy and sat on the management team at Unique Digital (now a WPP plc company), with responsibility for setting product and business strategy, including leading the multichannel planning strategy (cross-device and cross-platform), managing product heads and driving key initiatives across data buying, attribution modelling and biddable media adaptation. Ms. Parnell has a Masters in German and Business from the University of Edinburgh and studied at the London School of Marketing between 2005 and 2006.</w:t>
      </w:r>
    </w:p>
    <w:p>
      <w:pPr>
        <w:spacing w:after="0" w:line="178"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b w:val="1"/>
          <w:bCs w:val="1"/>
          <w:i w:val="1"/>
          <w:iCs w:val="1"/>
          <w:color w:val="auto"/>
        </w:rPr>
        <w:t xml:space="preserve">Lisa Klinger. </w:t>
      </w:r>
      <w:r>
        <w:rPr>
          <w:rFonts w:ascii="Arial" w:cs="Arial" w:eastAsia="Arial" w:hAnsi="Arial"/>
          <w:sz w:val="17"/>
          <w:szCs w:val="17"/>
          <w:color w:val="auto"/>
        </w:rPr>
        <w:t>Lisa Klinger has served as a member of our board of directors since April 2021. Ms. Klinger has nearly 30 years of experience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international finance. Most recently, between 2018 and 2019, Ms. Klinger was Chief Financial Officer at Ideal Image Development Corp, one of the largest cosmetic and aesthetic services providers in the United States and prior to that, between 2016 and 2017, she held the role of Chief Financial and Administrative Officer at Peloton Interactive Inc., the American exercise equipment and media company. Ms. Klinger has also held senior finance roles at Vince Holdings, Inc. and The Fresh Market Inc., where she was Executive Vice President, Chief Financial Officer and completed Initial Public Offerings at both companies, as well as at Michaels Stores Inc., where she was Senior Vice President, Finance and Treasurer, and Acting Chief Financial Officer. Ms. Klinger is currently a member of the board of directors and the chair of the audit committee of Emerald Holding Inc. (NYSE:EEX), a leading operator of B2B trade shows in the United States, and a member of the board of directors and the audit committee of The Container Store Group, Inc. (NYSE:TCS), the leading specialty retailer of storage, organization products, custom closets and in-home services in North America. Ms. Klinger holds a B.S.B.A. in Finance from Bowling Green State University.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5" w:lineRule="exact"/>
        <w:rPr>
          <w:sz w:val="20"/>
          <w:szCs w:val="20"/>
          <w:color w:val="auto"/>
        </w:rPr>
      </w:pPr>
    </w:p>
    <w:p>
      <w:pPr>
        <w:jc w:val="both"/>
        <w:ind w:firstLine="441"/>
        <w:spacing w:after="0" w:line="274" w:lineRule="auto"/>
        <w:rPr>
          <w:sz w:val="20"/>
          <w:szCs w:val="20"/>
          <w:color w:val="auto"/>
        </w:rPr>
      </w:pPr>
      <w:r>
        <w:rPr>
          <w:rFonts w:ascii="Arial" w:cs="Arial" w:eastAsia="Arial" w:hAnsi="Arial"/>
          <w:sz w:val="17"/>
          <w:szCs w:val="17"/>
          <w:b w:val="1"/>
          <w:bCs w:val="1"/>
          <w:i w:val="1"/>
          <w:iCs w:val="1"/>
          <w:color w:val="auto"/>
        </w:rPr>
        <w:t>Ofer Druker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Ofer Druker has served as our Chief Executive Officer and as a member of our board of directors since April 2019 following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completion of the merger with RhythmOne. From November 2017 to April 2019, Mr. Druker served as our Executive Chairman of the Tremor Video division and was instrumental in our successful integration of Tremor Video after its acquisition in August 2017. Previously, Mr. Druker was the founder and Chief Executive Officer of Matomy Media Group Ltd., a data-driven advertising company (“Matomy”) until April 2017, having built Matomy from its inception in 2007 into a digital media company. Mr. Druker was responsible for leading and integrating Matomy’s most important strategic transactions, including the acquisitions of Team Internet, Media Whiz, Mobfox and Optimatic.</w:t>
      </w:r>
    </w:p>
    <w:p>
      <w:pPr>
        <w:spacing w:after="0" w:line="177"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b w:val="1"/>
          <w:bCs w:val="1"/>
          <w:i w:val="1"/>
          <w:iCs w:val="1"/>
          <w:color w:val="auto"/>
        </w:rPr>
        <w:t xml:space="preserve">Sagi Niri. </w:t>
      </w:r>
      <w:r>
        <w:rPr>
          <w:rFonts w:ascii="Arial" w:cs="Arial" w:eastAsia="Arial" w:hAnsi="Arial"/>
          <w:sz w:val="17"/>
          <w:szCs w:val="17"/>
          <w:color w:val="auto"/>
        </w:rPr>
        <w:t>Sagi Niri has served as our Chief Financial Officer since March 2020 and as a member of our board of directors since June 2020. Mr. Niri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over 20 years of experience in finance and leadership roles in the technology and real estate sectors. Mr. Niri previously served as Chief Executive Officer of Labs (“Labs”), and Chief Financial Officer of LabTech Investments Ltd., Labs’ parent company, which owns and manages office, retail and residential real estate in London. In addition, Mr. Niri spent over nine years at Matomy, initially as Chief Operating Officer/Chief Financial Officer and more recently as Chief Executive Officer. Mr. Niri is a member of the Institute of Certified Public Accountants in Israel and holds an M.B.A. in Finance from Manchester University and a B.A. in Corporate Finance from the College of Management in Israel.</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6" w:name="page77"/>
    <w:bookmarkEnd w:id="76"/>
    <w:p>
      <w:pPr>
        <w:jc w:val="both"/>
        <w:ind w:firstLine="441"/>
        <w:spacing w:after="0" w:line="255" w:lineRule="auto"/>
        <w:rPr>
          <w:sz w:val="20"/>
          <w:szCs w:val="20"/>
          <w:color w:val="auto"/>
        </w:rPr>
      </w:pPr>
      <w:r>
        <w:rPr>
          <w:rFonts w:ascii="Arial" w:cs="Arial" w:eastAsia="Arial" w:hAnsi="Arial"/>
          <w:sz w:val="18"/>
          <w:szCs w:val="18"/>
          <w:b w:val="1"/>
          <w:bCs w:val="1"/>
          <w:i w:val="1"/>
          <w:iCs w:val="1"/>
          <w:color w:val="auto"/>
        </w:rPr>
        <w:t xml:space="preserve">Yaniv Carmi. </w:t>
      </w:r>
      <w:r>
        <w:rPr>
          <w:rFonts w:ascii="Arial" w:cs="Arial" w:eastAsia="Arial" w:hAnsi="Arial"/>
          <w:sz w:val="18"/>
          <w:szCs w:val="18"/>
          <w:color w:val="auto"/>
        </w:rPr>
        <w:t>Yaniv Carmi has served as our Chief Operating Officer since March 2020 and as a member of our board of directors since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Carmi previously served as our Chief Financial Officer from January 2010 to March 2020. He is currently responsible for the delivery of our business plan and driving our growth ambitions. Mr. Carmi was instrumental in our initial public offering of our ordinary shares on AIM in 2014 and in the subsequent global expansion in operations, including significant M&amp;A activity. He is an experienced finance professional, whose previous roles include tax and audit senior at KPMG Israel. Mr. Carmi is also a Certified Public Accountant and holds a B.A. in Economics and Accounting from Ben-Gurion University and an M.B.A. in Financial Management from Tel Aviv University.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Concerning Election of Directors; Family Relationships</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We are not a party to, and are not aware of, any arrangements pursuant to which any of our senior management members or directors was selected as such. In addition, there are no family relationships among our senior management members or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6.B.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Compensation of Office Holders</w:t>
      </w:r>
    </w:p>
    <w:p>
      <w:pPr>
        <w:spacing w:after="0" w:line="229"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The aggregate compensation, including share-based compensation, paid by us and our subsidiaries to our executive officers and directors for the year ended December 31, 2021 was approximately $34.7 million. This amount includes approximately $0.6 million set aside or accrued to provide pension, severance, retirement or similar benefits or expenses, but does not include business travel, relocation, professional and business association dues and expenses reimbursed to office holders, and other benefits commonly reimbursed or paid by companies in Israel.</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December 31, 2021, 7,832,718 RSUs and PSUs granted to our executive officers and directors were outstanding under our equity incentive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Disclosure in Accordance with Israeli Law</w:t>
      </w:r>
    </w:p>
    <w:p>
      <w:pPr>
        <w:spacing w:after="0" w:line="22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The table below is required under applicable Israeli Law and sets forth the compensation earned by our five most highly compensated office holders during or with respect to the year ended December 31, 2021. We refer to the five individuals for whom disclosure is provided herein as our “Covered Executives.” For purposes of the table and the summary below, “compensation” includes base salary, bonuses, equity-based compensation, retirement or termination payments, and any benefits or perquisites such as car, phone and social benefits, as well as any undertaking to provide such compensation in the future.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p>
        </w:tc>
        <w:tc>
          <w:tcPr>
            <w:tcW w:w="3240" w:type="dxa"/>
            <w:vAlign w:val="bottom"/>
            <w:gridSpan w:val="8"/>
          </w:tcPr>
          <w:p>
            <w:pPr>
              <w:ind w:left="340"/>
              <w:spacing w:after="0"/>
              <w:rPr>
                <w:sz w:val="20"/>
                <w:szCs w:val="20"/>
                <w:color w:val="auto"/>
              </w:rPr>
            </w:pPr>
            <w:r>
              <w:rPr>
                <w:rFonts w:ascii="Arial" w:cs="Arial" w:eastAsia="Arial" w:hAnsi="Arial"/>
                <w:sz w:val="18"/>
                <w:szCs w:val="18"/>
                <w:b w:val="1"/>
                <w:bCs w:val="1"/>
                <w:i w:val="1"/>
                <w:iCs w:val="1"/>
                <w:color w:val="auto"/>
              </w:rPr>
              <w:t>Summary Compensation Table</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4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8"/>
          </w:tcPr>
          <w:p>
            <w:pPr>
              <w:jc w:val="right"/>
              <w:ind w:right="520"/>
              <w:spacing w:after="0"/>
              <w:rPr>
                <w:sz w:val="20"/>
                <w:szCs w:val="20"/>
                <w:color w:val="auto"/>
              </w:rPr>
            </w:pPr>
            <w:r>
              <w:rPr>
                <w:rFonts w:ascii="Arial" w:cs="Arial" w:eastAsia="Arial" w:hAnsi="Arial"/>
                <w:sz w:val="18"/>
                <w:szCs w:val="18"/>
                <w:b w:val="1"/>
                <w:bCs w:val="1"/>
                <w:i w:val="1"/>
                <w:iCs w:val="1"/>
                <w:color w:val="auto"/>
                <w:w w:val="92"/>
              </w:rPr>
              <w:t>Information Regarding Covered Officers(1)</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4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4"/>
              </w:rPr>
              <w:t>Variable</w:t>
            </w:r>
          </w:p>
        </w:tc>
        <w:tc>
          <w:tcPr>
            <w:tcW w:w="1320" w:type="dxa"/>
            <w:vAlign w:val="bottom"/>
            <w:gridSpan w:val="3"/>
          </w:tcPr>
          <w:p>
            <w:pPr>
              <w:ind w:left="40"/>
              <w:spacing w:after="0" w:line="198" w:lineRule="exact"/>
              <w:rPr>
                <w:sz w:val="20"/>
                <w:szCs w:val="20"/>
                <w:color w:val="auto"/>
              </w:rPr>
            </w:pPr>
            <w:r>
              <w:rPr>
                <w:rFonts w:ascii="Arial" w:cs="Arial" w:eastAsia="Arial" w:hAnsi="Arial"/>
                <w:sz w:val="18"/>
                <w:szCs w:val="18"/>
                <w:b w:val="1"/>
                <w:bCs w:val="1"/>
                <w:color w:val="auto"/>
              </w:rPr>
              <w:t>Equity-Based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Benefits and</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14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Name and Principal Position(2)</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Base Salary</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Perquisites (3)</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43"/>
        </w:trPr>
        <w:tc>
          <w:tcPr>
            <w:tcW w:w="4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Ofer Druker</w:t>
            </w:r>
            <w:r>
              <w:rPr>
                <w:rFonts w:ascii="Arial" w:cs="Arial" w:eastAsia="Arial" w:hAnsi="Arial"/>
                <w:sz w:val="18"/>
                <w:szCs w:val="18"/>
                <w:color w:val="auto"/>
              </w:rPr>
              <w:t>, Chief Executive Officer</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663,182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364,891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1,163,000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16,437,432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18,628,505</w:t>
            </w:r>
          </w:p>
        </w:tc>
      </w:tr>
      <w:tr>
        <w:trPr>
          <w:trHeight w:val="243"/>
        </w:trPr>
        <w:tc>
          <w:tcPr>
            <w:tcW w:w="4140" w:type="dxa"/>
            <w:vAlign w:val="bottom"/>
          </w:tcPr>
          <w:p>
            <w:pPr>
              <w:spacing w:after="0"/>
              <w:rPr>
                <w:sz w:val="20"/>
                <w:szCs w:val="20"/>
                <w:color w:val="auto"/>
              </w:rPr>
            </w:pPr>
            <w:r>
              <w:rPr>
                <w:rFonts w:ascii="Arial" w:cs="Arial" w:eastAsia="Arial" w:hAnsi="Arial"/>
                <w:sz w:val="18"/>
                <w:szCs w:val="18"/>
                <w:i w:val="1"/>
                <w:iCs w:val="1"/>
                <w:color w:val="auto"/>
              </w:rPr>
              <w:t>Yaniv Carmi</w:t>
            </w:r>
            <w:r>
              <w:rPr>
                <w:rFonts w:ascii="Arial" w:cs="Arial" w:eastAsia="Arial" w:hAnsi="Arial"/>
                <w:sz w:val="18"/>
                <w:szCs w:val="18"/>
                <w:color w:val="auto"/>
              </w:rPr>
              <w:t>, Chief Operating Officer</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552,651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182,127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942,000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7,302,882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8,979,660</w:t>
            </w:r>
          </w:p>
        </w:tc>
      </w:tr>
      <w:tr>
        <w:trPr>
          <w:trHeight w:val="243"/>
        </w:trPr>
        <w:tc>
          <w:tcPr>
            <w:tcW w:w="4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Sagi Niri</w:t>
            </w:r>
            <w:r>
              <w:rPr>
                <w:rFonts w:ascii="Arial" w:cs="Arial" w:eastAsia="Arial" w:hAnsi="Arial"/>
                <w:sz w:val="18"/>
                <w:szCs w:val="18"/>
                <w:color w:val="auto"/>
              </w:rPr>
              <w:t>, Chief Financial Officer</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334,169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66,505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717,500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6,022,439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7,140,613</w:t>
            </w:r>
          </w:p>
        </w:tc>
      </w:tr>
      <w:tr>
        <w:trPr>
          <w:trHeight w:val="243"/>
        </w:trPr>
        <w:tc>
          <w:tcPr>
            <w:tcW w:w="4140" w:type="dxa"/>
            <w:vAlign w:val="bottom"/>
          </w:tcPr>
          <w:p>
            <w:pPr>
              <w:spacing w:after="0"/>
              <w:rPr>
                <w:sz w:val="20"/>
                <w:szCs w:val="20"/>
                <w:color w:val="auto"/>
              </w:rPr>
            </w:pPr>
            <w:r>
              <w:rPr>
                <w:rFonts w:ascii="Arial" w:cs="Arial" w:eastAsia="Arial" w:hAnsi="Arial"/>
                <w:sz w:val="18"/>
                <w:szCs w:val="18"/>
                <w:i w:val="1"/>
                <w:iCs w:val="1"/>
                <w:color w:val="auto"/>
                <w:w w:val="98"/>
              </w:rPr>
              <w:t>Anthony Flaccavento, Tremor Chief Revenue Officer</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82,914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607,365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893,876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1,934,155</w:t>
            </w:r>
          </w:p>
        </w:tc>
      </w:tr>
      <w:tr>
        <w:trPr>
          <w:trHeight w:val="243"/>
        </w:trPr>
        <w:tc>
          <w:tcPr>
            <w:tcW w:w="4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Steve Sottile, Steven, Unruly Chief Revenue Officer</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78,207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432,756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891,991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1,732,954</w:t>
            </w:r>
          </w:p>
        </w:tc>
      </w:tr>
    </w:tbl>
    <w:p>
      <w:pPr>
        <w:spacing w:after="0" w:line="202" w:lineRule="exact"/>
        <w:rPr>
          <w:sz w:val="20"/>
          <w:szCs w:val="20"/>
          <w:color w:val="auto"/>
        </w:rPr>
      </w:pPr>
    </w:p>
    <w:p>
      <w:pPr>
        <w:ind w:left="1300" w:right="2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accordance with Israeli law, all amounts reported in the table are in terms of cost to our company, as recorded in our audited consolidated financial statements for the year ended December 31, 2021.</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current officers listed in the table are full-time employees. Cash compensation amounts denominated in currencies other than the U.S. dollar were converted into U.S. dollars at the average conversion rate for the year ended December 31, 2021.</w:t>
      </w:r>
    </w:p>
    <w:p>
      <w:pPr>
        <w:spacing w:after="0" w:line="170" w:lineRule="exact"/>
        <w:rPr>
          <w:rFonts w:ascii="Arial" w:cs="Arial" w:eastAsia="Arial" w:hAnsi="Arial"/>
          <w:sz w:val="18"/>
          <w:szCs w:val="18"/>
          <w:color w:val="auto"/>
        </w:rPr>
      </w:pPr>
    </w:p>
    <w:p>
      <w:pPr>
        <w:jc w:val="both"/>
        <w:ind w:left="1300" w:hanging="644"/>
        <w:spacing w:after="0" w:line="275" w:lineRule="auto"/>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Amounts reported in this column include benefits and perquisites, including those mandated by applicable law. Such benefits and perquisites may include, to the extent applicable to each executive, payments, contributions and/or allocations for savings funds, pension, severance, vacation, car or car allowance, medical insurances and benefits, risk insurances (such as life, disability and accident insurances), convalescence pay, payments for Medicare and social security, tax gross-up payments and other benefits and perquisites consistent with our guidelines, regardless of whether such amounts have actually been paid to the executive.</w:t>
      </w:r>
    </w:p>
    <w:p>
      <w:pPr>
        <w:spacing w:after="0" w:line="17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reported in this column refer to Variable Compensation such as earned commissions, incentives and earned or paid bonuses as recorded in our audited consolidated financial statements for the year ended December 31, 2021.</w:t>
      </w:r>
    </w:p>
    <w:p>
      <w:pPr>
        <w:spacing w:after="0" w:line="17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reported in this column represent the expense recorded in our audited consolidated financial statements for the year ended December 31, 2021 with respect to equity-based compensation, reflecting also equity awards made in previous years which have vested during the current year. Assumptions and key variables used in the calculation of such amounts are described in Note 17 to our audited consolidated financial statements, which are included in this annual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i w:val="1"/>
          <w:iCs w:val="1"/>
          <w:color w:val="auto"/>
        </w:rPr>
        <w:t xml:space="preserve">Chief Executive Officer and Executive Director. </w:t>
      </w:r>
      <w:r>
        <w:rPr>
          <w:rFonts w:ascii="Arial" w:cs="Arial" w:eastAsia="Arial" w:hAnsi="Arial"/>
          <w:sz w:val="18"/>
          <w:szCs w:val="18"/>
          <w:color w:val="auto"/>
        </w:rPr>
        <w:t>Ofer Druker, our Chief Executive Officer and executive director, currently receives an annual base</w:t>
      </w:r>
      <w:r>
        <w:rPr>
          <w:rFonts w:ascii="Arial" w:cs="Arial" w:eastAsia="Arial" w:hAnsi="Arial"/>
          <w:sz w:val="18"/>
          <w:szCs w:val="18"/>
          <w:i w:val="1"/>
          <w:iCs w:val="1"/>
          <w:color w:val="auto"/>
        </w:rPr>
        <w:t xml:space="preserve"> </w:t>
      </w:r>
      <w:r>
        <w:rPr>
          <w:rFonts w:ascii="Arial" w:cs="Arial" w:eastAsia="Arial" w:hAnsi="Arial"/>
          <w:sz w:val="18"/>
          <w:szCs w:val="18"/>
          <w:color w:val="auto"/>
        </w:rPr>
        <w:t>salary of $720,000, and he is eligible to an annual bonus equal to up to 100% of his annual base salary (or $720,000), subject to compliance with annual performance criteria to be determined by the compensation committee each year. Mr. Druker received a special bonus of $500,000 upon completion of the listing of our ADSs for trading on Nasdaq effective in June 2021 (the “IPO”).</w:t>
      </w:r>
    </w:p>
    <w:p>
      <w:pPr>
        <w:spacing w:after="0" w:line="187"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Our compensation committee, board of directors and shareholders approved to grant to Mr. Druker, effective upon IPO, 2,625,000 RSUs and 1,125,000 PSUs pursuant to our 2017 Equity Incentive Plan (the “2017 Plan”). The RSUs vest gradually over a period of three years, with 8.33% of the grant vesting each quarter, subject to Mr. Druker continuing to be employed by the group on the applicable vesting date. The PSUs vest gradually over a period of three years, with 33.33% of each grant vesting each year, subject to (i) Mr. Druker continuing to be employed by the group on the applicable vesting date, and (ii) compliance with performance-based metrics as determined by the compensation committee. The vesting of the RSUs and PSUs shall accelerate in full automatically upon the consummation of a change in control of the Company.</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jc w:val="both"/>
        <w:ind w:firstLine="441"/>
        <w:spacing w:after="0" w:line="301" w:lineRule="auto"/>
        <w:rPr>
          <w:sz w:val="20"/>
          <w:szCs w:val="20"/>
          <w:color w:val="auto"/>
        </w:rPr>
      </w:pPr>
      <w:r>
        <w:rPr>
          <w:rFonts w:ascii="Arial" w:cs="Arial" w:eastAsia="Arial" w:hAnsi="Arial"/>
          <w:sz w:val="16"/>
          <w:szCs w:val="16"/>
          <w:i w:val="1"/>
          <w:iCs w:val="1"/>
          <w:color w:val="auto"/>
        </w:rPr>
        <w:t xml:space="preserve">Chief Operating Officer and Executive Director. </w:t>
      </w:r>
      <w:r>
        <w:rPr>
          <w:rFonts w:ascii="Arial" w:cs="Arial" w:eastAsia="Arial" w:hAnsi="Arial"/>
          <w:sz w:val="16"/>
          <w:szCs w:val="16"/>
          <w:color w:val="auto"/>
        </w:rPr>
        <w:t>Yaniv Carmi, our Chief Operating Officer and executive director, has a current annual base salary of</w:t>
      </w:r>
      <w:r>
        <w:rPr>
          <w:rFonts w:ascii="Arial" w:cs="Arial" w:eastAsia="Arial" w:hAnsi="Arial"/>
          <w:sz w:val="16"/>
          <w:szCs w:val="16"/>
          <w:i w:val="1"/>
          <w:iCs w:val="1"/>
          <w:color w:val="auto"/>
        </w:rPr>
        <w:t xml:space="preserve"> </w:t>
      </w:r>
      <w:r>
        <w:rPr>
          <w:rFonts w:ascii="Arial" w:cs="Arial" w:eastAsia="Arial" w:hAnsi="Arial"/>
          <w:sz w:val="16"/>
          <w:szCs w:val="16"/>
          <w:color w:val="auto"/>
        </w:rPr>
        <w:t>$600,000, and he is eligible to an annual bonus equal to up to 80% of his annual base salary (or $480,000), subject to compliance with annual performance criteria to be determined by the compensation committee each year. Mr. Carmi received a special bonus of $500,000 upon completion of the IPO and is entitled to a special bonus of £300,000 (or $405,000) in the event of a company sale (or a pro rata portion in the case of a partial sale).</w:t>
      </w:r>
    </w:p>
    <w:p>
      <w:pPr>
        <w:spacing w:after="0" w:line="157"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Our compensation committee, board of directors and shareholders approved to grant to Mr. Carmi, effective upon the IPO, 1,155,000 RSUs and 495,000 PSUs pursuant to our 2017 Plan. The RSUs vest gradually over a period of three years, with 8.33% of the grant vesting each quarter, subject to Mr. Carmi continuing to be employed by the group on the applicable vesting date. The PSUs vest gradually over a period of three years, with 33.33% of each grant vesting each year, subject to (i) Mr. Carmi continuing to be employed by the group on the applicable vesting date, and (ii) compliance with performance-based metrics as determined by the compensation committee. The vesting of the RSUs and PSUs shall accelerate in full automatically upon the consummation of a change in control of the company.</w:t>
      </w:r>
    </w:p>
    <w:p>
      <w:pPr>
        <w:spacing w:after="0" w:line="192"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i w:val="1"/>
          <w:iCs w:val="1"/>
          <w:color w:val="auto"/>
        </w:rPr>
        <w:t>Chief Financial Officer and Executive Director</w:t>
      </w:r>
      <w:r>
        <w:rPr>
          <w:rFonts w:ascii="Arial" w:cs="Arial" w:eastAsia="Arial" w:hAnsi="Arial"/>
          <w:sz w:val="18"/>
          <w:szCs w:val="18"/>
          <w:color w:val="auto"/>
        </w:rPr>
        <w:t>. Sagi Niri, our Chief Financial Officer and executive director, has a current annual base salary of NIS</w:t>
      </w:r>
      <w:r>
        <w:rPr>
          <w:rFonts w:ascii="Arial" w:cs="Arial" w:eastAsia="Arial" w:hAnsi="Arial"/>
          <w:sz w:val="18"/>
          <w:szCs w:val="18"/>
          <w:i w:val="1"/>
          <w:iCs w:val="1"/>
          <w:color w:val="auto"/>
        </w:rPr>
        <w:t xml:space="preserve"> </w:t>
      </w:r>
      <w:r>
        <w:rPr>
          <w:rFonts w:ascii="Arial" w:cs="Arial" w:eastAsia="Arial" w:hAnsi="Arial"/>
          <w:sz w:val="18"/>
          <w:szCs w:val="18"/>
          <w:color w:val="auto"/>
        </w:rPr>
        <w:t>1,200,000 (approximately $365,000), and he is eligible to an annual bonus equal to up to 82% of his annual base salary (or $300,000), subject to compliance with annual performance criteria to be determined by the compensation committee each year. Mr. Niri received a special bonus of $500,000 upon completion of the IPO.</w:t>
      </w:r>
    </w:p>
    <w:p>
      <w:pPr>
        <w:spacing w:after="0" w:line="187"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Our compensation committee, board of directors and shareholders approved to grant to Mr. Niri, effective upon the IPO, 945,000 RSUs and 405,000 PSUs pursuant to our Global Share Incentive Plan (2011), as amended (the “2011 Plan”). The RSUs vest gradually over a period of three years, with 8.33% of the grant vesting each quarter, subject to Mr. Niri continuing to be employed by the group on the applicable vesting date. The PSUs vest gradually over a period of three years, with 33.33% of each grant vesting each year, subject to (i) Mr. Niri continuing to be employed by the group on the applicable vesting date, and (ii) compliance with performance-based metrics as determined by the compensation committee. The vesting of the RSUs and PSUs shall accelerate in full automatically upon the consummation of a change in control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Non-Executive Directors</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currently pay the chairman of our board of directors an annual cash retainer of £150,000 (approximately $202,500) and each of our other non-executive directors an annual cash retainer of £43,000 (approximately $58,050). In addition, we pay the chair of each of our audit committee and compensation committee an annual cash retainer of £7,000 (approximately $9,450), and we pay our senior non-executive director, Neil Jones, an additional annual cash retainer of £5,000 (approximately $6,750).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maintain the 2011 Plan, under which we may grant equity based incentive awards to attract, motivate and retain the talent for which we compete.</w:t>
      </w:r>
    </w:p>
    <w:p>
      <w:pPr>
        <w:spacing w:after="0" w:line="248"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The 2011 Plan is administered by our board of directors with the assistance of the compensation committee, and provides for the grant of options, restricted shares and restricted share units.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9" w:name="page80"/>
    <w:bookmarkEnd w:id="79"/>
    <w:p>
      <w:pPr>
        <w:jc w:val="both"/>
        <w:ind w:firstLine="441"/>
        <w:spacing w:after="0" w:line="275" w:lineRule="auto"/>
        <w:rPr>
          <w:sz w:val="20"/>
          <w:szCs w:val="20"/>
          <w:color w:val="auto"/>
        </w:rPr>
      </w:pPr>
      <w:r>
        <w:rPr>
          <w:rFonts w:ascii="Arial" w:cs="Arial" w:eastAsia="Arial" w:hAnsi="Arial"/>
          <w:sz w:val="17"/>
          <w:szCs w:val="17"/>
          <w:color w:val="auto"/>
        </w:rPr>
        <w:t>The 2011 Plan provides for granting awards under various tax regimes, including, without limitation, in compliance with Section 102 of the Israeli Income Tax Ordinance (New Version), 5721-1961 (the “Ordinance”). Section 102 of the Ordinance allows employees, directors and officers who are not controlling shareholders and are considered Israeli residents to receive favorable tax treatment for compensation in the form of shares, restricted share units or options, subject to the terms and conditions set forth in the Ordinance. Our non-employee service providers and controlling shareholders may only be granted awards under section 3(i) of the Ordinance, which does not provide for similar tax benefits.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maintain the 2017 Plan under which we may grant equity based incentive awards to attract, motivate and retain the talent for which we compete.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2017 Plan is administered by our board of directors with the assistance of the compensation committee.</w:t>
      </w:r>
    </w:p>
    <w:p>
      <w:pPr>
        <w:spacing w:after="0" w:line="211"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 2017 Plan provides for granting awards under various tax regimes, including, without limitation, awards granted to our United States employees or service providers, including those who are deemed to be residents of the United States for tax purposes, Section 422 of the Code and Section 409A of the Code.</w:t>
      </w:r>
    </w:p>
    <w:p>
      <w:pPr>
        <w:spacing w:after="0" w:line="184" w:lineRule="exact"/>
        <w:rPr>
          <w:sz w:val="20"/>
          <w:szCs w:val="20"/>
          <w:color w:val="auto"/>
        </w:rPr>
      </w:pPr>
    </w:p>
    <w:p>
      <w:pPr>
        <w:jc w:val="both"/>
        <w:ind w:firstLine="441"/>
        <w:spacing w:after="0" w:line="311" w:lineRule="auto"/>
        <w:rPr>
          <w:sz w:val="20"/>
          <w:szCs w:val="20"/>
          <w:color w:val="auto"/>
        </w:rPr>
      </w:pPr>
      <w:r>
        <w:rPr>
          <w:rFonts w:ascii="Arial" w:cs="Arial" w:eastAsia="Arial" w:hAnsi="Arial"/>
          <w:sz w:val="16"/>
          <w:szCs w:val="16"/>
          <w:color w:val="auto"/>
        </w:rPr>
        <w:t>The 2017 Plan provides for the grant of stock options (including incentive stock options and nonqualified stock options), restricted shares, restricted share units, performance bonus awards, performance units and performance shares. Options granted under the 2017 Plan to our employees who are U.S. residents may qualify as “incentive stock options” within the meaning of Section 422 of the Code, or may be non-qualified stock options.</w:t>
      </w:r>
    </w:p>
    <w:p>
      <w:pPr>
        <w:spacing w:after="0" w:line="14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As of December 31, 2021, a total of 6,023,198 options to purchase ordinary shares, with a weighted average exercise price of £4.84 ($6.54 USD) per share and 12,264,190 RSUs and PSUs were outstanding under the 2011 and 2017 Plans. As of December 31, 2021, 929,044 ordinary shares were available for future issuance under the 2011 and 2017 Plans.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6.C. BOARD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Practices; External Directors</w:t>
      </w:r>
    </w:p>
    <w:p>
      <w:pPr>
        <w:spacing w:after="0" w:line="225"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As an Israeli company, we are subject to various corporate governance requirements under the Companies Law, including the requirement to appoint at least two external directors to the board of directors. However, pursuant to regulations promulgated under the Companies Law, companies with shares or ADSs traded on certain U.S. stock exchanges, including Nasdaq, may, subject to certain conditions, “opt out” from the Companies Law requirements to appoint external directors and related Companies Law rules concerning the composition of the audit committee and compensation committee of the board of directors (other than the gender diversification rule under the Companies Law, which requires the appointment of a director from the other gender if at the time a director is appointed all members of the board of directors are of the same gender).</w:t>
      </w:r>
    </w:p>
    <w:p>
      <w:pPr>
        <w:spacing w:after="0" w:line="178"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6"/>
          <w:szCs w:val="16"/>
          <w:color w:val="auto"/>
        </w:rPr>
        <w:t>In connection with the IPO, we elected to “opt out” from such requirements of the Companies Law effective upon the closing of the IPO in June 2021, and our three external directors, Neil Jones, Joanna Parnell and Lisa Klinger, became regular directors, except that their current term of office shall expire at the 2023 annual general meeting. Under these regulations, the exemptions from such Companies Law requirements will continue to be available to us so long as: (i) we do not have a “controlling shareholder” (as such term is defined under the Companies Law), (ii) our shares or ADSs are traded on certain U.S. stock exchanges, including Nasdaq, and (iii) we comply with the director independence requirements and the audit committee and compensation committee composition requirements under U.S. laws (including applicable rules of Nasdaq) applicable to U.S. domestic issuers.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0" w:name="page81"/>
    <w:bookmarkEnd w:id="80"/>
    <w:p>
      <w:pPr>
        <w:jc w:val="both"/>
        <w:ind w:firstLine="441"/>
        <w:spacing w:after="0" w:line="263" w:lineRule="auto"/>
        <w:rPr>
          <w:sz w:val="20"/>
          <w:szCs w:val="20"/>
          <w:color w:val="auto"/>
        </w:rPr>
      </w:pPr>
      <w:r>
        <w:rPr>
          <w:rFonts w:ascii="Arial" w:cs="Arial" w:eastAsia="Arial" w:hAnsi="Arial"/>
          <w:sz w:val="18"/>
          <w:szCs w:val="18"/>
          <w:color w:val="auto"/>
        </w:rPr>
        <w:t>We are a “foreign private issuer” (as such term is defined in Rule 405 under the Securities Act). As a foreign private issuer, we are permitted to comply with Israeli corporate governance practices instead of the corporate governance rules of Nasdaq, provided that we disclose which requirements we are not following and the equivalent Israeli requirement.</w:t>
      </w:r>
    </w:p>
    <w:p>
      <w:pPr>
        <w:spacing w:after="0" w:line="184" w:lineRule="exact"/>
        <w:rPr>
          <w:sz w:val="20"/>
          <w:szCs w:val="20"/>
          <w:color w:val="auto"/>
        </w:rPr>
      </w:pPr>
    </w:p>
    <w:p>
      <w:pPr>
        <w:jc w:val="both"/>
        <w:ind w:firstLine="441"/>
        <w:spacing w:after="0" w:line="245" w:lineRule="auto"/>
        <w:rPr>
          <w:sz w:val="20"/>
          <w:szCs w:val="20"/>
          <w:color w:val="auto"/>
        </w:rPr>
      </w:pPr>
      <w:r>
        <w:rPr>
          <w:rFonts w:ascii="Arial" w:cs="Arial" w:eastAsia="Arial" w:hAnsi="Arial"/>
          <w:sz w:val="17"/>
          <w:szCs w:val="17"/>
          <w:color w:val="auto"/>
        </w:rPr>
        <w:t>We rely on this “foreign private issuer exemption” with respect to the quorum requirement for shareholder meetings. As permitted under the Companies Law, pursuant to our amended and restated articles of association, the quorum required for an ordinary meeting of shareholders consists of at least two shareholders present in person, by proxy or by other voting instrument in accordance with the Companies Law who hold at least 25% of the voting power of our shares (and if the meeting is adjourned for a lack of quorum, the quorum for such adjourned meeting will be, subject to certain exceptions, any number of shareholders), instead of 33</w:t>
      </w:r>
      <w:r>
        <w:rPr>
          <w:rFonts w:ascii="Arial" w:cs="Arial" w:eastAsia="Arial" w:hAnsi="Arial"/>
          <w:sz w:val="28"/>
          <w:szCs w:val="28"/>
          <w:color w:val="auto"/>
          <w:vertAlign w:val="superscript"/>
        </w:rPr>
        <w:t>1/3</w:t>
      </w:r>
      <w:r>
        <w:rPr>
          <w:rFonts w:ascii="Arial" w:cs="Arial" w:eastAsia="Arial" w:hAnsi="Arial"/>
          <w:sz w:val="17"/>
          <w:szCs w:val="17"/>
          <w:color w:val="auto"/>
        </w:rPr>
        <w:t>% of the issued share capital as required under the corporate governance rules of Nasdaq. We otherwise comply with the rules generally applicable to U.S. domestic companies listed on Nasdaq. We may, however, in the future decide to use the “foreign private issuer exemption” and opt out of some or all of the other corporate governance rules.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Under the Companies Law and our amended and restated articles of association, our business and affairs are be managed under the direction of our board of directors. Our board of directors may exercise all powers and may take all actions that are not specifically granted to our shareholders or to executive management. Our Chief Executive Officer (referred to as a “general manager” under the Companies Law) is responsible for our day-to-day management. Our Chief Executive Officer is appointed by, and serves at the discretion of, our board of directors, subject to the employment agreement that we have entered into with him. All other executive officers are appointed by the Chief Executive Officer, subject to applicable corporate approvals, and are subject to the terms of any applicable employment or consulting agreements that we may enter into with them.</w:t>
      </w:r>
    </w:p>
    <w:p>
      <w:pPr>
        <w:spacing w:after="0" w:line="178"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Under our amended and restated articles of association, the number of directors on our board of directors will be no less than four and no more than nine directors. At each annual general meeting of our shareholders, the election or re-election of directors following the expiration of the term of office of the directors will be for a term of office that expires on next annual general meeting following such election or re-election, except that, in accordance with Israeli law, the current term of office of our directors — Neil Jones, Joanna Parnell and Lisa Klinger, who served as our external Directors in accordance with Israeli law until the IPO, shall expire at the 2023 annual general meeting.</w:t>
      </w:r>
    </w:p>
    <w:p>
      <w:pPr>
        <w:spacing w:after="0" w:line="188"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Our directors are appointed by a simple majority vote of holders of our ordinary shares, participating and voting at an annual general meeting of our shareholders, provided that (i) in the event of a contested election, the method of calculation of the votes and the manner in which the resolutions will be presented to our shareholders at the general meeting shall be determined by our board of directors in its discretion, and (ii) in the event that our board of directors does not or is unable to make a determination on such matter, then the directors will be elected by a majority of the voting power represented at the general meeting in person or by proxy and voting on the election of directors provided that if the number of nominees so elected exceeds the number of directors that are proposed by the board of directors to be elected, then as among such elected nominees the election shall be by a plurality of the votes cast. Each director holds office until the annual general meeting of our shareholders for the year in which such director’s term expires, unless the tenure of such director expires earlier pursuant to the Companies Law or unless such director is removed from office as described below.</w:t>
      </w:r>
    </w:p>
    <w:p>
      <w:pPr>
        <w:spacing w:after="0" w:line="165"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Under our amended and restated articles of association, the approval of the holders of at least 65% of the total voting power of our shareholders is generally required to remove any of our directors from office or amend the provision requiring the approval of at least 65% of the total voting power of our shareholders to remove any of our directors from office. In addition, vacancies on our board of directors may only be filled by a vote of a simple majority of the directors then in office. A director so appointed will hold office until the next annual general meeting of our shareholders for the election of the class of directors in respect of which the vacancy was created, or in the case of a vacancy due to the number of directors being less than the maximum number of directors stated in our amended and restated articles of association, until the next annual general meeting of our shareholders for the election of the class of directors to which such director was assigned by our board of directors.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Chairperson of the Board</w:t>
      </w:r>
    </w:p>
    <w:p>
      <w:pPr>
        <w:spacing w:after="0" w:line="22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Our amended and restated articles of association provide that the chairperson of the board of directors is appointed by the members of the board of directors from among them. Under the Companies Law, the chief executive officer of a public company, or a relative of the chief executive officer, may not serve as the chairperson of the board of directors, and the chairperson of the board of directors, or a relative of the chairperson, may not be vested with authorities of the chief executive officer unless approved by a special majority of the company’s shareholders. The shareholders’ approval can be effective for a period of up to three years.</w:t>
      </w:r>
    </w:p>
    <w:p>
      <w:pPr>
        <w:spacing w:after="0" w:line="188"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addition, a person who is subordinated, directly or indirectly, to the chief executive officer may not serve as the chairperson of the board of directors, the chairperson of the board of directors may not be vested with authorities that are granted to persons who are subordinated to the chief executive officer and the chairperson of the board of directors may not serve in any other position in the company or in a controlled subsidiary, but may serve as a director or chairperson of a controlled subsidiary.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Companies Law Requirements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the Companies Law, the board of directors of a public company must appoint an 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Requirements</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Under the corporate governance rules of Nasdaq, we are required to maintain an audit committee consisting of at least three independent directors, each of whom is financially literate and one of whom has accounting or related financial management expertise.</w:t>
      </w:r>
    </w:p>
    <w:p>
      <w:pPr>
        <w:spacing w:after="0" w:line="170"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Our audit committee consists of Neil Jones, Joanna Parnell and Lisa Klinger. Lisa Klinger serves as the chairperson of the audit committee. All members of our audit committee meet the requirements for financial literacy under the applicable rules and regulations of the SEC and the corporate governance rules of Nasdaq. Our board of directors has determined that each of and Neil Jones is an audit committee financial expert as defined by the SEC rules and has the requisite financial experience as defined by the corporate governance rules of Nasdaq.</w:t>
      </w:r>
    </w:p>
    <w:p>
      <w:pPr>
        <w:spacing w:after="0" w:line="171"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Our board of directors has determined that each member of our audit committee is “independent” as such term is defined in Rule 10A-3(b)(1) under the Exchange Act, which is different from the general test for independence of board and committee members.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Role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board of directors has adopted an audit committee charter setting forth the responsibilities of the audit committee, which are consistent with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Companies Law, the SEC rules and the corporate governance rules of and include:</w:t>
      </w:r>
    </w:p>
    <w:p>
      <w:pPr>
        <w:spacing w:after="0" w:line="211" w:lineRule="exact"/>
        <w:rPr>
          <w:sz w:val="20"/>
          <w:szCs w:val="20"/>
          <w:color w:val="auto"/>
        </w:rPr>
      </w:pPr>
    </w:p>
    <w:p>
      <w:pPr>
        <w:ind w:left="780" w:hanging="340"/>
        <w:spacing w:after="0" w:line="277"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retaining and terminating our independent auditors, subject to ratification by the board of directors, and in the case of retention, to ratification by the shareholders;</w:t>
      </w:r>
    </w:p>
    <w:p>
      <w:pPr>
        <w:spacing w:after="0" w:line="170" w:lineRule="exact"/>
        <w:rPr>
          <w:rFonts w:ascii="Arial" w:cs="Arial" w:eastAsia="Arial" w:hAnsi="Arial"/>
          <w:sz w:val="18"/>
          <w:szCs w:val="18"/>
          <w:color w:val="auto"/>
        </w:rPr>
      </w:pPr>
    </w:p>
    <w:p>
      <w:pPr>
        <w:ind w:left="780" w:hanging="340"/>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pre-approving audit and non-audit services to be provided by the independent auditors and related fees and terms;</w:t>
      </w:r>
    </w:p>
    <w:p>
      <w:pPr>
        <w:spacing w:after="0" w:line="225" w:lineRule="exact"/>
        <w:rPr>
          <w:rFonts w:ascii="Arial" w:cs="Arial" w:eastAsia="Arial" w:hAnsi="Arial"/>
          <w:sz w:val="18"/>
          <w:szCs w:val="18"/>
          <w:color w:val="auto"/>
        </w:rPr>
      </w:pPr>
    </w:p>
    <w:p>
      <w:pPr>
        <w:jc w:val="both"/>
        <w:ind w:left="780" w:hanging="340"/>
        <w:spacing w:after="0" w:line="263"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overseeing the accounting and financial reporting processes of our company and audits of our financial statements, the effectiveness of our internal control over financial reporting and making such reports as may be required of an audit committee under the rules and regulations promulgated under the Exchange Act;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2" w:name="page83"/>
    <w:bookmarkEnd w:id="82"/>
    <w:p>
      <w:pPr>
        <w:ind w:left="780" w:right="20" w:hanging="340"/>
        <w:spacing w:after="0" w:line="277"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reviewing with management and our independent auditor our annual and quarterly financial statements prior to publication or filing (or submission, as the case may be) to the SEC;</w:t>
      </w:r>
    </w:p>
    <w:p>
      <w:pPr>
        <w:spacing w:after="0" w:line="170" w:lineRule="exact"/>
        <w:rPr>
          <w:rFonts w:ascii="Arial" w:cs="Arial" w:eastAsia="Arial" w:hAnsi="Arial"/>
          <w:sz w:val="18"/>
          <w:szCs w:val="18"/>
          <w:color w:val="auto"/>
        </w:rPr>
      </w:pPr>
    </w:p>
    <w:p>
      <w:pPr>
        <w:ind w:left="780" w:hanging="340"/>
        <w:spacing w:after="0" w:line="308" w:lineRule="auto"/>
        <w:tabs>
          <w:tab w:leader="none" w:pos="7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recommending to the board of directors the retention and termination of the internal auditor, and the internal auditor’s engagement fees and terms, in accordance with the Companies Law as well as approving the yearly or periodic work plan proposed by the internal auditor;</w:t>
      </w:r>
    </w:p>
    <w:p>
      <w:pPr>
        <w:spacing w:after="0" w:line="146" w:lineRule="exact"/>
        <w:rPr>
          <w:rFonts w:ascii="Arial" w:cs="Arial" w:eastAsia="Arial" w:hAnsi="Arial"/>
          <w:sz w:val="17"/>
          <w:szCs w:val="17"/>
          <w:color w:val="auto"/>
        </w:rPr>
      </w:pPr>
    </w:p>
    <w:p>
      <w:pPr>
        <w:ind w:left="780" w:hanging="340"/>
        <w:spacing w:after="0" w:line="277"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reviewing with our general counsel and/or external counsel, as deemed necessary, legal and regulatory matters that could have a material impact on the financial statements;</w:t>
      </w:r>
    </w:p>
    <w:p>
      <w:pPr>
        <w:spacing w:after="0" w:line="170" w:lineRule="exact"/>
        <w:rPr>
          <w:rFonts w:ascii="Arial" w:cs="Arial" w:eastAsia="Arial" w:hAnsi="Arial"/>
          <w:sz w:val="18"/>
          <w:szCs w:val="18"/>
          <w:color w:val="auto"/>
        </w:rPr>
      </w:pPr>
    </w:p>
    <w:p>
      <w:pPr>
        <w:ind w:left="780" w:hanging="340"/>
        <w:spacing w:after="0" w:line="277"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identifying irregularities in our business administration by among other things, consulting with the internal auditor or with the independent auditor, and suggesting corrective measures to the board of directors;</w:t>
      </w:r>
    </w:p>
    <w:p>
      <w:pPr>
        <w:spacing w:after="0" w:line="170" w:lineRule="exact"/>
        <w:rPr>
          <w:rFonts w:ascii="Arial" w:cs="Arial" w:eastAsia="Arial" w:hAnsi="Arial"/>
          <w:sz w:val="18"/>
          <w:szCs w:val="18"/>
          <w:color w:val="auto"/>
        </w:rPr>
      </w:pPr>
    </w:p>
    <w:p>
      <w:pPr>
        <w:jc w:val="both"/>
        <w:ind w:left="780" w:hanging="340"/>
        <w:spacing w:after="0" w:line="311" w:lineRule="auto"/>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reviewing policies and procedures with respect to transactions between the Company and officers and directors (other than transactions related to the compensation or terms of service of officers and directors), or affiliates of officers or directors, or transactions that are not in the ordinary course of the Company’s business and deciding whether to approve such acts and transactions if so required under the Companies Law; and</w:t>
      </w:r>
    </w:p>
    <w:p>
      <w:pPr>
        <w:spacing w:after="0" w:line="148" w:lineRule="exact"/>
        <w:rPr>
          <w:rFonts w:ascii="Arial" w:cs="Arial" w:eastAsia="Arial" w:hAnsi="Arial"/>
          <w:sz w:val="16"/>
          <w:szCs w:val="16"/>
          <w:color w:val="auto"/>
        </w:rPr>
      </w:pPr>
    </w:p>
    <w:p>
      <w:pPr>
        <w:ind w:left="780" w:hanging="340"/>
        <w:spacing w:after="0" w:line="277"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establishing procedures for the handling of employees’ complaints as to the management of our business and the protection to be provided to such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Companies Law Requirements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the Companies Law, the board of directors of a public company must appoint a 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Requirements</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Under the corporate governance rules of Nasdaq, we are required to maintain a compensation committee consisting of at least three independent directors.</w:t>
      </w:r>
    </w:p>
    <w:p>
      <w:pPr>
        <w:spacing w:after="0" w:line="170"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Our compensation committee consists of Neil Jones, Joanna Parnell and Lisa Klinger. Neil Jones serves as chairperson of the committee. Our board of directors has determined that each member of our compensation committee is independent under the corporate governance rules of Nasdaq, including the additional independence requirements applicable to the members of a compensation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Role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accordance with the Companies Law, the roles of the compensation committee are, among others, as follows:</w:t>
      </w:r>
    </w:p>
    <w:p>
      <w:pPr>
        <w:spacing w:after="0" w:line="225" w:lineRule="exact"/>
        <w:rPr>
          <w:sz w:val="20"/>
          <w:szCs w:val="20"/>
          <w:color w:val="auto"/>
        </w:rPr>
      </w:pPr>
    </w:p>
    <w:p>
      <w:pPr>
        <w:ind w:left="780" w:hanging="340"/>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making recommendations to the board of directors with respect to the approval of the compensation policy for office holders;</w:t>
      </w:r>
    </w:p>
    <w:p>
      <w:pPr>
        <w:spacing w:after="0" w:line="225" w:lineRule="exact"/>
        <w:rPr>
          <w:rFonts w:ascii="Arial" w:cs="Arial" w:eastAsia="Arial" w:hAnsi="Arial"/>
          <w:sz w:val="18"/>
          <w:szCs w:val="18"/>
          <w:color w:val="auto"/>
        </w:rPr>
      </w:pPr>
    </w:p>
    <w:p>
      <w:pPr>
        <w:ind w:left="780" w:hanging="340"/>
        <w:spacing w:after="0" w:line="277"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the implementation of the compensation policy and periodically making recommendations to the board of directors with respect to any amendments or updates of the compensation policy;</w:t>
      </w:r>
    </w:p>
    <w:p>
      <w:pPr>
        <w:spacing w:after="0" w:line="170" w:lineRule="exact"/>
        <w:rPr>
          <w:rFonts w:ascii="Arial" w:cs="Arial" w:eastAsia="Arial" w:hAnsi="Arial"/>
          <w:sz w:val="18"/>
          <w:szCs w:val="18"/>
          <w:color w:val="auto"/>
        </w:rPr>
      </w:pPr>
    </w:p>
    <w:p>
      <w:pPr>
        <w:ind w:left="780" w:hanging="340"/>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resolving whether or not to approve arrangements with respect to the terms of office and employment of office holders; and</w:t>
      </w:r>
    </w:p>
    <w:p>
      <w:pPr>
        <w:spacing w:after="0" w:line="225" w:lineRule="exact"/>
        <w:rPr>
          <w:rFonts w:ascii="Arial" w:cs="Arial" w:eastAsia="Arial" w:hAnsi="Arial"/>
          <w:sz w:val="18"/>
          <w:szCs w:val="18"/>
          <w:color w:val="auto"/>
        </w:rPr>
      </w:pPr>
    </w:p>
    <w:p>
      <w:pPr>
        <w:ind w:left="780" w:hanging="340"/>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exempting, under certain circumstances, transactions with our Chief Executive Officer from the approval of our shareholders.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ind w:firstLine="441"/>
        <w:spacing w:after="0" w:line="277" w:lineRule="auto"/>
        <w:rPr>
          <w:sz w:val="20"/>
          <w:szCs w:val="20"/>
          <w:color w:val="auto"/>
        </w:rPr>
      </w:pPr>
      <w:r>
        <w:rPr>
          <w:rFonts w:ascii="Arial" w:cs="Arial" w:eastAsia="Arial" w:hAnsi="Arial"/>
          <w:sz w:val="18"/>
          <w:szCs w:val="18"/>
          <w:color w:val="auto"/>
        </w:rPr>
        <w:t>Our board of directors has adopted a compensation committee charter setting forth the responsibilities of the committee, which are consistent with the corporate governance rules of Nasdaq and include among others:</w:t>
      </w:r>
    </w:p>
    <w:p>
      <w:pPr>
        <w:spacing w:after="0" w:line="170" w:lineRule="exact"/>
        <w:rPr>
          <w:sz w:val="20"/>
          <w:szCs w:val="20"/>
          <w:color w:val="auto"/>
        </w:rPr>
      </w:pPr>
    </w:p>
    <w:p>
      <w:pPr>
        <w:jc w:val="both"/>
        <w:ind w:left="780" w:hanging="340"/>
        <w:spacing w:after="0" w:line="259"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recommending to our board of directors for its approval a compensation policy in accordance with the requirements of the Companies Law as well as other compensation policies, incentive-based compensation plans and equity-based compensation plans, and overseeing the development and implementation of such policies and recommending to our board of directors any amendments or modifications the committee deems appropriate, including as required under the Companies Law;</w:t>
      </w:r>
    </w:p>
    <w:p>
      <w:pPr>
        <w:spacing w:after="0" w:line="186" w:lineRule="exact"/>
        <w:rPr>
          <w:rFonts w:ascii="Arial" w:cs="Arial" w:eastAsia="Arial" w:hAnsi="Arial"/>
          <w:sz w:val="18"/>
          <w:szCs w:val="18"/>
          <w:color w:val="auto"/>
        </w:rPr>
      </w:pPr>
    </w:p>
    <w:p>
      <w:pPr>
        <w:jc w:val="both"/>
        <w:ind w:left="780" w:hanging="340"/>
        <w:spacing w:after="0" w:line="263"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reviewing and approving the granting of options and other incentive awards to our Chief Executive Officer and other executive officers, including reviewing and approving corporate goals and objectives relevant to the compensation of our Chief Executive Officer and other executive officers, including evaluating their performance in light of such goals and objectives;</w:t>
      </w:r>
    </w:p>
    <w:p>
      <w:pPr>
        <w:spacing w:after="0" w:line="183" w:lineRule="exact"/>
        <w:rPr>
          <w:rFonts w:ascii="Arial" w:cs="Arial" w:eastAsia="Arial" w:hAnsi="Arial"/>
          <w:sz w:val="18"/>
          <w:szCs w:val="18"/>
          <w:color w:val="auto"/>
        </w:rPr>
      </w:pPr>
    </w:p>
    <w:p>
      <w:pPr>
        <w:ind w:left="780" w:hanging="340"/>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approving and exempting certain transactions regarding office holders’ compensation pursuant to the Companies Law; and</w:t>
      </w:r>
    </w:p>
    <w:p>
      <w:pPr>
        <w:spacing w:after="0" w:line="225" w:lineRule="exact"/>
        <w:rPr>
          <w:rFonts w:ascii="Arial" w:cs="Arial" w:eastAsia="Arial" w:hAnsi="Arial"/>
          <w:sz w:val="18"/>
          <w:szCs w:val="18"/>
          <w:color w:val="auto"/>
        </w:rPr>
      </w:pPr>
    </w:p>
    <w:p>
      <w:pPr>
        <w:jc w:val="both"/>
        <w:ind w:left="780" w:hanging="340"/>
        <w:spacing w:after="0" w:line="263"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administering our equity-based compensation plans, including without limitation, approving the adoption of such plans, amending and interpreting such plans and the awards and agreements issued pursuant thereto, and making awards to eligible persons under the plans and determining the terms of such awards.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Policy under the Companies Law</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In general, under the Companies Law, a public company must have a compensation policy approved by its board of directors after receiving and considering the recommendations of the compensation committee.</w:t>
      </w:r>
    </w:p>
    <w:p>
      <w:pPr>
        <w:spacing w:after="0" w:line="170"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The compensation policy must be based on certain considerations, include certain provisions and reference certain matters as set forth in the Companies Law. The compensation policy must serve as the basis for decisions concerning the financial terms of employment or engagement of office holders, including exculpation, insurance, indemnification or any monetary payment or obligation of payment in respect of employment or engagement. The compensation policy must be determined and later reevaluated according to certain factors, including: the advancement of the company’s objectives, business plan and long-term strategy; the creation of appropriate incentives for office holders, while considering, among other things, the company’s risk management policy; the size and the nature of the company’s operations; and with respect to variable compensation, the contribution of the office holder towards the achievement of the company’s long-term goals and the maximization of its profits, all with a long-term objective and according to the position of the office holder. The compensation policy must furthermore consider the following additional factors:</w:t>
      </w:r>
    </w:p>
    <w:p>
      <w:pPr>
        <w:spacing w:after="0" w:line="178" w:lineRule="exact"/>
        <w:rPr>
          <w:sz w:val="20"/>
          <w:szCs w:val="20"/>
          <w:color w:val="auto"/>
        </w:rPr>
      </w:pPr>
    </w:p>
    <w:p>
      <w:pPr>
        <w:ind w:left="780" w:hanging="340"/>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education, skills, experience, expertise and accomplishments of the relevant office holder;</w:t>
      </w:r>
    </w:p>
    <w:p>
      <w:pPr>
        <w:spacing w:after="0" w:line="225" w:lineRule="exact"/>
        <w:rPr>
          <w:rFonts w:ascii="Arial" w:cs="Arial" w:eastAsia="Arial" w:hAnsi="Arial"/>
          <w:sz w:val="18"/>
          <w:szCs w:val="18"/>
          <w:color w:val="auto"/>
        </w:rPr>
      </w:pPr>
    </w:p>
    <w:p>
      <w:pPr>
        <w:ind w:left="780" w:hanging="340"/>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office holder’s position and responsibilities;</w:t>
      </w:r>
    </w:p>
    <w:p>
      <w:pPr>
        <w:spacing w:after="0" w:line="225" w:lineRule="exact"/>
        <w:rPr>
          <w:rFonts w:ascii="Arial" w:cs="Arial" w:eastAsia="Arial" w:hAnsi="Arial"/>
          <w:sz w:val="18"/>
          <w:szCs w:val="18"/>
          <w:color w:val="auto"/>
        </w:rPr>
      </w:pPr>
    </w:p>
    <w:p>
      <w:pPr>
        <w:ind w:left="780" w:hanging="340"/>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prior compensation agreements with the office holder;</w:t>
      </w:r>
    </w:p>
    <w:p>
      <w:pPr>
        <w:spacing w:after="0" w:line="225" w:lineRule="exact"/>
        <w:rPr>
          <w:rFonts w:ascii="Arial" w:cs="Arial" w:eastAsia="Arial" w:hAnsi="Arial"/>
          <w:sz w:val="18"/>
          <w:szCs w:val="18"/>
          <w:color w:val="auto"/>
        </w:rPr>
      </w:pPr>
    </w:p>
    <w:p>
      <w:pPr>
        <w:jc w:val="both"/>
        <w:ind w:left="780" w:hanging="340"/>
        <w:spacing w:after="0" w:line="259"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ratio between the cost of the terms of employment of an office holder and the cost of the employment of other employees of the company, including employees employed through contractors who provide services to the company, in particular the ratio between such cost to the average and median salary of such employees of the company, as well as the impact of disparities between them on the work relationships in the company;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4" w:name="page85"/>
    <w:bookmarkEnd w:id="84"/>
    <w:p>
      <w:pPr>
        <w:ind w:left="780" w:hanging="340"/>
        <w:spacing w:after="0" w:line="277"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terms of employment include variable components — the possibility of reducing variable components at the discretion of the board of directors and the possibility of setting a limit on the value of non-cash variable equity-based components; and</w:t>
      </w:r>
    </w:p>
    <w:p>
      <w:pPr>
        <w:spacing w:after="0" w:line="170" w:lineRule="exact"/>
        <w:rPr>
          <w:rFonts w:ascii="Arial" w:cs="Arial" w:eastAsia="Arial" w:hAnsi="Arial"/>
          <w:sz w:val="18"/>
          <w:szCs w:val="18"/>
          <w:color w:val="auto"/>
        </w:rPr>
      </w:pPr>
    </w:p>
    <w:p>
      <w:pPr>
        <w:jc w:val="both"/>
        <w:ind w:left="780" w:right="20" w:hanging="340"/>
        <w:spacing w:after="0" w:line="311" w:lineRule="auto"/>
        <w:tabs>
          <w:tab w:leader="none" w:pos="7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the terms of employment include severance compensation — the term of employment or office of the office holder, the terms of the office holder’s compensation during such period, the company’s performance during such period, the office holder’s individual contribution to the achievement of the company goals and the maximization of its profits and the circumstances under which he or she is leaving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policy must also include, among other things:</w:t>
      </w:r>
    </w:p>
    <w:p>
      <w:pPr>
        <w:spacing w:after="0" w:line="225" w:lineRule="exact"/>
        <w:rPr>
          <w:sz w:val="20"/>
          <w:szCs w:val="20"/>
          <w:color w:val="auto"/>
        </w:rPr>
      </w:pPr>
    </w:p>
    <w:p>
      <w:pPr>
        <w:ind w:left="780" w:hanging="340"/>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 regards to variable components:</w:t>
      </w:r>
    </w:p>
    <w:p>
      <w:pPr>
        <w:spacing w:after="0" w:line="225" w:lineRule="exact"/>
        <w:rPr>
          <w:rFonts w:ascii="Arial" w:cs="Arial" w:eastAsia="Arial" w:hAnsi="Arial"/>
          <w:sz w:val="18"/>
          <w:szCs w:val="18"/>
          <w:color w:val="auto"/>
        </w:rPr>
      </w:pPr>
    </w:p>
    <w:p>
      <w:pPr>
        <w:jc w:val="both"/>
        <w:ind w:left="1100" w:hanging="336"/>
        <w:spacing w:after="0" w:line="279" w:lineRule="auto"/>
        <w:tabs>
          <w:tab w:leader="none" w:pos="1100" w:val="left"/>
        </w:tabs>
        <w:numPr>
          <w:ilvl w:val="1"/>
          <w:numId w:val="41"/>
        </w:numPr>
        <w:rPr>
          <w:rFonts w:ascii="Arial" w:cs="Arial" w:eastAsia="Arial" w:hAnsi="Arial"/>
          <w:sz w:val="17"/>
          <w:szCs w:val="17"/>
          <w:color w:val="auto"/>
        </w:rPr>
      </w:pPr>
      <w:r>
        <w:rPr>
          <w:rFonts w:ascii="Arial" w:cs="Arial" w:eastAsia="Arial" w:hAnsi="Arial"/>
          <w:sz w:val="17"/>
          <w:szCs w:val="17"/>
          <w:color w:val="auto"/>
        </w:rPr>
        <w:t>with the exception of office holders who report to the chief executive officer, a means of determining the variable components on the basis of long-term performance and measurable criteria; provided that the company may determine that an immaterial part of the variable components of the compensation package of an office holder shall be awarded based on non-measurable criteria, if such amount is not higher than three months’ salary per annum, taking into account such office holder’s contribution to the company;</w:t>
      </w:r>
    </w:p>
    <w:p>
      <w:pPr>
        <w:spacing w:after="0" w:line="171" w:lineRule="exact"/>
        <w:rPr>
          <w:rFonts w:ascii="Arial" w:cs="Arial" w:eastAsia="Arial" w:hAnsi="Arial"/>
          <w:sz w:val="17"/>
          <w:szCs w:val="17"/>
          <w:color w:val="auto"/>
        </w:rPr>
      </w:pPr>
    </w:p>
    <w:p>
      <w:pPr>
        <w:ind w:left="1100" w:hanging="336"/>
        <w:spacing w:after="0" w:line="277" w:lineRule="auto"/>
        <w:tabs>
          <w:tab w:leader="none" w:pos="11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ratio between variable and fixed components, as well as the limit of the values of variable components at the time of their payment, or in the case of equity-based compensation, at the time of grant;</w:t>
      </w:r>
    </w:p>
    <w:p>
      <w:pPr>
        <w:spacing w:after="0" w:line="170" w:lineRule="exact"/>
        <w:rPr>
          <w:rFonts w:ascii="Arial" w:cs="Arial" w:eastAsia="Arial" w:hAnsi="Arial"/>
          <w:sz w:val="18"/>
          <w:szCs w:val="18"/>
          <w:color w:val="auto"/>
        </w:rPr>
      </w:pPr>
    </w:p>
    <w:p>
      <w:pPr>
        <w:jc w:val="both"/>
        <w:ind w:left="780" w:hanging="340"/>
        <w:spacing w:after="0" w:line="263"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condition under which the office holder will return to the company, according to conditions to be set forth in the compensation policy, any amounts paid as part of the office holder’s terms of employment, if such amounts were paid based on information later to be discovered to be wrong, and such information was restated in the company’s financial statements;</w:t>
      </w:r>
    </w:p>
    <w:p>
      <w:pPr>
        <w:spacing w:after="0" w:line="183" w:lineRule="exact"/>
        <w:rPr>
          <w:rFonts w:ascii="Arial" w:cs="Arial" w:eastAsia="Arial" w:hAnsi="Arial"/>
          <w:sz w:val="18"/>
          <w:szCs w:val="18"/>
          <w:color w:val="auto"/>
        </w:rPr>
      </w:pPr>
    </w:p>
    <w:p>
      <w:pPr>
        <w:ind w:left="780" w:right="20" w:hanging="340"/>
        <w:spacing w:after="0" w:line="277"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minimum holding or vesting period of variable equity-based components to be set in the terms of office or employment, as applicable, while taking into consideration long-term incentives; and</w:t>
      </w:r>
    </w:p>
    <w:p>
      <w:pPr>
        <w:spacing w:after="0" w:line="170" w:lineRule="exact"/>
        <w:rPr>
          <w:rFonts w:ascii="Arial" w:cs="Arial" w:eastAsia="Arial" w:hAnsi="Arial"/>
          <w:sz w:val="18"/>
          <w:szCs w:val="18"/>
          <w:color w:val="auto"/>
        </w:rPr>
      </w:pPr>
    </w:p>
    <w:p>
      <w:pPr>
        <w:ind w:left="780" w:hanging="340"/>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limit to retirement grants.</w:t>
      </w:r>
    </w:p>
    <w:p>
      <w:pPr>
        <w:spacing w:after="0" w:line="225"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Our compensation policy was last adopted by our compensation committee, board of directors and shareholders on April 30, 2021 and is filed as an exhibit to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 Nominating and Governance Committee</w:t>
      </w:r>
    </w:p>
    <w:p>
      <w:pPr>
        <w:spacing w:after="0" w:line="22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Our sustainability, nominating and governance committee consists of Neil Jones, Joana Parnell and Christopher Stibbs. Christopher Stibbs serves as chairperson of the committee. Our board of directors has adopted a sustainability, nominating and governance committee charter setting forth the responsibilities of the committee, which include:</w:t>
      </w:r>
    </w:p>
    <w:p>
      <w:pPr>
        <w:spacing w:after="0" w:line="184" w:lineRule="exact"/>
        <w:rPr>
          <w:sz w:val="20"/>
          <w:szCs w:val="20"/>
          <w:color w:val="auto"/>
        </w:rPr>
      </w:pPr>
    </w:p>
    <w:p>
      <w:pPr>
        <w:ind w:left="780" w:hanging="340"/>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overseeing and assisting our board in reviewing and recommending nominees for election as directors;</w:t>
      </w:r>
    </w:p>
    <w:p>
      <w:pPr>
        <w:spacing w:after="0" w:line="225" w:lineRule="exact"/>
        <w:rPr>
          <w:rFonts w:ascii="Arial" w:cs="Arial" w:eastAsia="Arial" w:hAnsi="Arial"/>
          <w:sz w:val="18"/>
          <w:szCs w:val="18"/>
          <w:color w:val="auto"/>
        </w:rPr>
      </w:pPr>
    </w:p>
    <w:p>
      <w:pPr>
        <w:ind w:left="780" w:hanging="340"/>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assessing the performance of the members of our board; and</w:t>
      </w:r>
    </w:p>
    <w:p>
      <w:pPr>
        <w:spacing w:after="0" w:line="225" w:lineRule="exact"/>
        <w:rPr>
          <w:rFonts w:ascii="Arial" w:cs="Arial" w:eastAsia="Arial" w:hAnsi="Arial"/>
          <w:sz w:val="18"/>
          <w:szCs w:val="18"/>
          <w:color w:val="auto"/>
        </w:rPr>
      </w:pPr>
    </w:p>
    <w:p>
      <w:pPr>
        <w:ind w:left="780" w:hanging="340"/>
        <w:spacing w:after="0" w:line="277"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establishing and maintaining effective corporate governance policies and practices, including, but not limited to, developing and recommending to our board a set of corporate governance guidelines applicable to our business.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22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Under the Companies Law, the compensation of our directors requires the approval of our compensation committee, the subsequent approval of the board of directors and, unless exempted under regulations promulgated under the Companies Law, the approval of the shareholders at a general meeting. If the compensation of our directors is inconsistent with our stated compensation policy, then those provisions that must be included in the compensation policy according to the Companies Law must have been considered by the compensation committee and board of directors, and shareholder approval will also be required, provided that:</w:t>
      </w:r>
    </w:p>
    <w:p>
      <w:pPr>
        <w:spacing w:after="0" w:line="188" w:lineRule="exact"/>
        <w:rPr>
          <w:sz w:val="20"/>
          <w:szCs w:val="20"/>
          <w:color w:val="auto"/>
        </w:rPr>
      </w:pPr>
    </w:p>
    <w:p>
      <w:pPr>
        <w:ind w:left="780" w:hanging="340"/>
        <w:spacing w:after="0" w:line="277"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least a majority of the shares held by all shareholders who are not controlling shareholders and do not have a personal interest in such matter, present and voting at such meeting, are voted in favor of the compensation package, excluding abstentions; or</w:t>
      </w:r>
    </w:p>
    <w:p>
      <w:pPr>
        <w:spacing w:after="0" w:line="170" w:lineRule="exact"/>
        <w:rPr>
          <w:rFonts w:ascii="Arial" w:cs="Arial" w:eastAsia="Arial" w:hAnsi="Arial"/>
          <w:sz w:val="18"/>
          <w:szCs w:val="18"/>
          <w:color w:val="auto"/>
        </w:rPr>
      </w:pPr>
    </w:p>
    <w:p>
      <w:pPr>
        <w:ind w:left="780" w:right="20" w:hanging="340"/>
        <w:spacing w:after="0" w:line="277"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total number of shares of non-controlling shareholders and shareholders who do not have a personal interest in such matter voting against the compensation package does not exceed two percent (2%) of the aggregate voting rights in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other than the Chief Executive Officer</w:t>
      </w:r>
    </w:p>
    <w:p>
      <w:pPr>
        <w:spacing w:after="0" w:line="225"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The Companies Law requires the approval of the compensation of a public company’s executive officers (other than the chief executive officer or an executive officer who also serves as a director) in the following order: (i) the compensation committee, (ii) the company’s board of directors, and (iii) if such compensation arrangement is inconsistent with the company’s stated compensation policy, the company’s shareholders (by a special majority vote as discussed above with respect to the approval of director compensation). However, if the shareholders of the company decline to approve a compensation arrangement with an executive officer that is inconsistent with the company’s stated compensation policy, the compensation committee and board of directors may override the shareholders’ decision if each of the compensation committee and the board of directors provide detailed reasons for their decision.</w:t>
      </w:r>
    </w:p>
    <w:p>
      <w:pPr>
        <w:spacing w:after="0" w:line="195"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6"/>
          <w:szCs w:val="16"/>
          <w:color w:val="auto"/>
        </w:rPr>
        <w:t>An amendment to an existing arrangement with an office holder (who is not a director) requires only the approval of the compensation committee, if the compensation committee determines that the amendment is not material in comparison to the existing arrangement. However, according to regulations promulgated under the Companies Law, an amendment to an existing arrangement with an office holder (who is not a director) who is subordinate to the chief executive officer shall not require the approval of the compensation committee, if (i) the amendment is approved by the chief executive officer,</w:t>
      </w:r>
    </w:p>
    <w:p>
      <w:pPr>
        <w:spacing w:after="0" w:line="1" w:lineRule="exact"/>
        <w:rPr>
          <w:sz w:val="20"/>
          <w:szCs w:val="20"/>
          <w:color w:val="auto"/>
        </w:rPr>
      </w:pPr>
    </w:p>
    <w:p>
      <w:pPr>
        <w:ind w:firstLine="8"/>
        <w:spacing w:after="0" w:line="323" w:lineRule="auto"/>
        <w:tabs>
          <w:tab w:leader="none" w:pos="272"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company’s compensation policy provides that a non-material amendment to the terms of service of an office holder (other than the chief executive officer) may be approved by the chief executive officer and (iii) the engagement terms are consistent with the company’s compensation policy.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25"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Under the Companies Law, the compensation of a public company’s chief executive officer is required to be approved by: (i) the company’s compensation committee; (ii) the company’s board of directors, and (iii) the company’s shareholders, provided that:</w:t>
      </w:r>
    </w:p>
    <w:p>
      <w:pPr>
        <w:spacing w:after="0" w:line="170" w:lineRule="exact"/>
        <w:rPr>
          <w:sz w:val="20"/>
          <w:szCs w:val="20"/>
          <w:color w:val="auto"/>
        </w:rPr>
      </w:pPr>
    </w:p>
    <w:p>
      <w:pPr>
        <w:ind w:left="780" w:hanging="340"/>
        <w:spacing w:after="0" w:line="277"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least a majority of the shares held by all shareholders who are not controlling shareholders and do not have a personal interest in such matter, present and voting at such meeting, are voted in favor of the compensation package, excluding abstentions; or</w:t>
      </w:r>
    </w:p>
    <w:p>
      <w:pPr>
        <w:spacing w:after="0" w:line="170" w:lineRule="exact"/>
        <w:rPr>
          <w:rFonts w:ascii="Arial" w:cs="Arial" w:eastAsia="Arial" w:hAnsi="Arial"/>
          <w:sz w:val="18"/>
          <w:szCs w:val="18"/>
          <w:color w:val="auto"/>
        </w:rPr>
      </w:pPr>
    </w:p>
    <w:p>
      <w:pPr>
        <w:ind w:left="780" w:right="20" w:hanging="340"/>
        <w:spacing w:after="0" w:line="277"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total number of shares of non-controlling shareholders and shareholders who do not have a personal interest in such matter voting against the compensation package does not exceed two percent (2%) of the aggregate voting rights in the Company.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jc w:val="both"/>
        <w:ind w:firstLine="441"/>
        <w:spacing w:after="0" w:line="286" w:lineRule="auto"/>
        <w:rPr>
          <w:sz w:val="20"/>
          <w:szCs w:val="20"/>
          <w:color w:val="auto"/>
        </w:rPr>
      </w:pPr>
      <w:r>
        <w:rPr>
          <w:rFonts w:ascii="Arial" w:cs="Arial" w:eastAsia="Arial" w:hAnsi="Arial"/>
          <w:sz w:val="16"/>
          <w:szCs w:val="16"/>
          <w:color w:val="auto"/>
        </w:rPr>
        <w:t>However, if the shareholders of the company decline to approve the compensation arrangement with the chief executive officer, the compensation committee and board of directors may override the shareholders’ decision if each of the compensation committee and the board of directors provide a detailed report for their decision. The approval of each of the compensation committee and the board of directors should be in accordance with the company’s stated compensation policy; however, in special circumstances, they may approve compensation terms of a chief executive officer that are inconsistent with such policy provided that they have considered those provisions that must be included in the compensation policy according to the Companies Law and that shareholder approval was obtained (by a special majority vote as discussed above with respect to the approval of director compensation that is inconsistent with the compensation policy). In addition, the compensation committee may waive the shareholder approval requirement with regards to the approval of the engagement terms of a candidate for the chief executive officer position, if they determine that the compensation arrangement is consistent with the company’s stated compensation policy and that the chief executive officer candidate did not have a prior business relationship with the company or a controlling shareholder of the company and that subjecting the approval of the engagement to a shareholder vote would impede the company’s ability to employ the chief executive officer candidate. Such waiver does not preclude the need for approval of the compensation of a chief executive officer candidate who also serves as a member of the board of directors, and his or her compensation terms as chief executive officer must be approved in accordance with the rules applicable to approval of compensation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Fiduciary Duties of Directors and Executive Officers</w:t>
      </w:r>
    </w:p>
    <w:p>
      <w:pPr>
        <w:spacing w:after="0" w:line="225"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The Companies Law codifies the fiduciary duties that office holders owe to a company. An office holder is defined in the Companies Law as a general manager, chief business manager, deputy general manager, vice general manager, any other person assuming the responsibilities of any of these positions regardless of such person’s title, a director and any other manager directly subordinate to the general manager. Each person listed in the table above under “</w:t>
      </w:r>
      <w:r>
        <w:rPr>
          <w:rFonts w:ascii="Arial" w:cs="Arial" w:eastAsia="Arial" w:hAnsi="Arial"/>
          <w:sz w:val="17"/>
          <w:szCs w:val="17"/>
          <w:i w:val="1"/>
          <w:iCs w:val="1"/>
          <w:color w:val="auto"/>
        </w:rPr>
        <w:t>Board of Directors and Senior Management</w:t>
      </w:r>
      <w:r>
        <w:rPr>
          <w:rFonts w:ascii="Arial" w:cs="Arial" w:eastAsia="Arial" w:hAnsi="Arial"/>
          <w:sz w:val="17"/>
          <w:szCs w:val="17"/>
          <w:color w:val="auto"/>
        </w:rPr>
        <w:t>” is an office holder under the Companies Law.</w:t>
      </w:r>
    </w:p>
    <w:p>
      <w:pPr>
        <w:spacing w:after="0" w:line="171"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care includes, among other things, a duty to use reasonable means, in light of the circumstances, to obtain:</w:t>
      </w:r>
    </w:p>
    <w:p>
      <w:pPr>
        <w:spacing w:after="0" w:line="184" w:lineRule="exact"/>
        <w:rPr>
          <w:sz w:val="20"/>
          <w:szCs w:val="20"/>
          <w:color w:val="auto"/>
        </w:rPr>
      </w:pPr>
    </w:p>
    <w:p>
      <w:pPr>
        <w:ind w:left="780" w:hanging="340"/>
        <w:spacing w:after="0" w:line="277"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information on the business advisability of a given action brought for his, her or its approval or performed by virtue of his, her or its position; and</w:t>
      </w:r>
    </w:p>
    <w:p>
      <w:pPr>
        <w:spacing w:after="0" w:line="170" w:lineRule="exact"/>
        <w:rPr>
          <w:rFonts w:ascii="Arial" w:cs="Arial" w:eastAsia="Arial" w:hAnsi="Arial"/>
          <w:sz w:val="18"/>
          <w:szCs w:val="18"/>
          <w:color w:val="auto"/>
        </w:rPr>
      </w:pPr>
    </w:p>
    <w:p>
      <w:pPr>
        <w:ind w:left="780" w:hanging="340"/>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other important information pertaining to such action.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7" w:name="page88"/>
    <w:bookmarkEnd w:id="87"/>
    <w:p>
      <w:pPr>
        <w:ind w:left="440"/>
        <w:spacing w:after="0"/>
        <w:rPr>
          <w:sz w:val="20"/>
          <w:szCs w:val="20"/>
          <w:color w:val="auto"/>
        </w:rPr>
      </w:pPr>
      <w:r>
        <w:rPr>
          <w:rFonts w:ascii="Arial" w:cs="Arial" w:eastAsia="Arial" w:hAnsi="Arial"/>
          <w:sz w:val="16"/>
          <w:szCs w:val="16"/>
          <w:color w:val="auto"/>
        </w:rPr>
        <w:t>The duty of loyalty requires that an office holder act in good faith and in the best interests of the company, and includes, among other things, the duty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11" w:lineRule="exact"/>
        <w:rPr>
          <w:sz w:val="20"/>
          <w:szCs w:val="20"/>
          <w:color w:val="auto"/>
        </w:rPr>
      </w:pPr>
    </w:p>
    <w:p>
      <w:pPr>
        <w:ind w:left="780" w:right="20" w:hanging="340"/>
        <w:spacing w:after="0" w:line="277"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refrain from any act involving a conflict of interest between the performance of his, her or its duties in the company and his, her or its other duties or personal affairs;</w:t>
      </w:r>
    </w:p>
    <w:p>
      <w:pPr>
        <w:spacing w:after="0" w:line="170" w:lineRule="exact"/>
        <w:rPr>
          <w:rFonts w:ascii="Arial" w:cs="Arial" w:eastAsia="Arial" w:hAnsi="Arial"/>
          <w:sz w:val="18"/>
          <w:szCs w:val="18"/>
          <w:color w:val="auto"/>
        </w:rPr>
      </w:pPr>
    </w:p>
    <w:p>
      <w:pPr>
        <w:ind w:left="780" w:hanging="340"/>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refrain from any activity that is competitive with the business of the company;</w:t>
      </w:r>
    </w:p>
    <w:p>
      <w:pPr>
        <w:spacing w:after="0" w:line="225" w:lineRule="exact"/>
        <w:rPr>
          <w:rFonts w:ascii="Arial" w:cs="Arial" w:eastAsia="Arial" w:hAnsi="Arial"/>
          <w:sz w:val="18"/>
          <w:szCs w:val="18"/>
          <w:color w:val="auto"/>
        </w:rPr>
      </w:pPr>
    </w:p>
    <w:p>
      <w:pPr>
        <w:ind w:left="780" w:hanging="340"/>
        <w:spacing w:after="0" w:line="277"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refrain from exploiting any business opportunity of the company for the purpose of gaining a personal advantage for himself, herself or itself or others; and</w:t>
      </w:r>
    </w:p>
    <w:p>
      <w:pPr>
        <w:spacing w:after="0" w:line="170" w:lineRule="exact"/>
        <w:rPr>
          <w:rFonts w:ascii="Arial" w:cs="Arial" w:eastAsia="Arial" w:hAnsi="Arial"/>
          <w:sz w:val="18"/>
          <w:szCs w:val="18"/>
          <w:color w:val="auto"/>
        </w:rPr>
      </w:pPr>
    </w:p>
    <w:p>
      <w:pPr>
        <w:ind w:left="780" w:hanging="340"/>
        <w:spacing w:after="0" w:line="277"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received as a result of his, her or its position as an office holder.</w:t>
      </w:r>
    </w:p>
    <w:p>
      <w:pPr>
        <w:spacing w:after="0" w:line="170"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color w:val="auto"/>
        </w:rPr>
        <w:t>Under the Companies Law, a company may approve an act specified above which would otherwise constitute a breach of the office holder’s fiduciary duty, provided that the office holder acted in good faith, neither the act nor its approval harms the company and the office holder discloses his, her or its personal interest a sufficient time before the approval of such act. Any such approval is subject to the terms of the Companies Law setting forth, among other things, the appropriate bodies of the company required to provide such approval and the methods of obtaining such approval.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Personal Interests of an Office Holder and Approval of Certain Transactions</w:t>
      </w:r>
    </w:p>
    <w:p>
      <w:pPr>
        <w:spacing w:after="0" w:line="225"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color w:val="auto"/>
        </w:rPr>
        <w:t>The Companies Law requires that an office holder promptly disclose to the board of directors any personal interest that such office holder may have and all related material information known to such office holder concerning any existing or proposed transaction with the company.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such person has the right to appoint at least one director or the general manager, but excluding a personal interest stemming solely from one’s ownership of shares in the company. A personal interest includes the personal interest of a person for whom the office holder holds a voting proxy or the personal interest of the office holder with respect to the office holder’s vote on behalf of a person for whom he or she holds a proxy even if such shareholder has no personal interest in the matter.</w:t>
      </w:r>
    </w:p>
    <w:p>
      <w:pPr>
        <w:spacing w:after="0" w:line="166"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If it is determined that an office holder has a personal interest in a non-extraordinary transaction, meaning any transaction that is in the ordinary course of business, on market terms or that is not likely to have a material impact on the company’s profitability, assets or liabilities, approval by the board of directors is required for the transaction unless the company’s articles of association provide for a different method of approval. Any such transaction that is adverse to the company’s interests may not be approved by the board of directors.</w:t>
      </w:r>
    </w:p>
    <w:p>
      <w:pPr>
        <w:spacing w:after="0" w:line="187"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Approval first by the company’s audit committee and subsequently by the board of directors is required for an extraordinary transaction (meaning any transaction that is not in the ordinary course of business, not on market terms or that is likely to have a material impact on the company’s profitability, assets or liabilities) in which an office holder has a personal interest.</w:t>
      </w:r>
    </w:p>
    <w:p>
      <w:pPr>
        <w:spacing w:after="0" w:line="184"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A director and any other office holder who has a personal interest in a transaction which is considered at a meeting of the board of directors or the audit committee may generally (unless it is with respect to a transaction which is not an extraordinary transaction) not be present at such a meeting or vote on that matter unless a majority of the directors or members of the audit committee, as applicable, have a personal interest in the matter. If a majority of the members of the audit committee or the board of directors have a personal interest in the matter, then all of the directors may participate in deliberations of the audit committee or board of directors, as applicable, with respect to such transaction and vote on the approval thereof and, in such case, shareholder approval is also required.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jc w:val="both"/>
        <w:ind w:firstLine="441"/>
        <w:spacing w:after="0" w:line="275" w:lineRule="auto"/>
        <w:rPr>
          <w:sz w:val="20"/>
          <w:szCs w:val="20"/>
          <w:color w:val="auto"/>
        </w:rPr>
      </w:pPr>
      <w:r>
        <w:rPr>
          <w:rFonts w:ascii="Arial" w:cs="Arial" w:eastAsia="Arial" w:hAnsi="Arial"/>
          <w:sz w:val="17"/>
          <w:szCs w:val="17"/>
          <w:color w:val="auto"/>
        </w:rPr>
        <w:t>Certain disclosure and approval requirements apply under Israeli law to certain transactions with controlling shareholders, certain transactions in which a controlling shareholder has a personal interest and certain arrangements regarding the terms of service or employment of a controlling shareholder. For these purposes, a controlling shareholder is any shareholder that has the ability to direct the company’s actions, including any shareholder holding 25% or more of the voting rights if no other shareholder owns more than 50% of the voting rights in the company. Two or more shareholders with a personal interest in the approval of the same transaction are deemed to be one shareholder for these purposes.</w:t>
      </w:r>
    </w:p>
    <w:p>
      <w:pPr>
        <w:spacing w:after="0" w:line="176"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For a description of the approvals required under Israeli law for compensation arrangements of officers and directors, see “—</w:t>
      </w:r>
      <w:r>
        <w:rPr>
          <w:rFonts w:ascii="Arial" w:cs="Arial" w:eastAsia="Arial" w:hAnsi="Arial"/>
          <w:sz w:val="18"/>
          <w:szCs w:val="18"/>
          <w:i w:val="1"/>
          <w:iCs w:val="1"/>
          <w:color w:val="auto"/>
        </w:rPr>
        <w:t>Compensation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Directors and Executive Officers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Duties</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Pursuant to the Companies Law, a shareholder has a duty to act in good faith and in a customary manner toward the company and other shareholders and to refrain from abusing his or her power with respect to the company, including, among other things, in voting at a general meeting and at shareholder class meetings with respect to the following matters:</w:t>
      </w:r>
    </w:p>
    <w:p>
      <w:pPr>
        <w:spacing w:after="0" w:line="184" w:lineRule="exact"/>
        <w:rPr>
          <w:sz w:val="20"/>
          <w:szCs w:val="20"/>
          <w:color w:val="auto"/>
        </w:rPr>
      </w:pPr>
    </w:p>
    <w:p>
      <w:pPr>
        <w:ind w:left="780" w:hanging="340"/>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amendment to the company’s articles of association;</w:t>
      </w:r>
    </w:p>
    <w:p>
      <w:pPr>
        <w:spacing w:after="0" w:line="225" w:lineRule="exact"/>
        <w:rPr>
          <w:rFonts w:ascii="Arial" w:cs="Arial" w:eastAsia="Arial" w:hAnsi="Arial"/>
          <w:sz w:val="18"/>
          <w:szCs w:val="18"/>
          <w:color w:val="auto"/>
        </w:rPr>
      </w:pPr>
    </w:p>
    <w:p>
      <w:pPr>
        <w:ind w:left="780" w:hanging="340"/>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increase of the company’s authorized share capital;</w:t>
      </w:r>
    </w:p>
    <w:p>
      <w:pPr>
        <w:spacing w:after="0" w:line="225" w:lineRule="exact"/>
        <w:rPr>
          <w:rFonts w:ascii="Arial" w:cs="Arial" w:eastAsia="Arial" w:hAnsi="Arial"/>
          <w:sz w:val="18"/>
          <w:szCs w:val="18"/>
          <w:color w:val="auto"/>
        </w:rPr>
      </w:pPr>
    </w:p>
    <w:p>
      <w:pPr>
        <w:ind w:left="780" w:hanging="340"/>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merger; or</w:t>
      </w:r>
    </w:p>
    <w:p>
      <w:pPr>
        <w:spacing w:after="0" w:line="225" w:lineRule="exact"/>
        <w:rPr>
          <w:rFonts w:ascii="Arial" w:cs="Arial" w:eastAsia="Arial" w:hAnsi="Arial"/>
          <w:sz w:val="18"/>
          <w:szCs w:val="18"/>
          <w:color w:val="auto"/>
        </w:rPr>
      </w:pPr>
    </w:p>
    <w:p>
      <w:pPr>
        <w:ind w:left="780" w:hanging="340"/>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interested party transactions that require shareholder approval.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a shareholder has a general duty to refrain from discriminating against other shareholders.</w:t>
      </w:r>
    </w:p>
    <w:p>
      <w:pPr>
        <w:spacing w:after="0" w:line="22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Certain shareholders also have a duty of fairness toward the company. These shareholders include any controlling shareholder, any shareholder who knows that it has the power to determine the outcome of a shareholder vote and any shareholder who has the power to appoint or to prevent the appointment of an office holder of the company or exercise any other rights available to it under the company’s articles of association with respect to the company. The Companies Law does not define the substance of this duty of fairness, except to state that the remedies generally available upon a breach of contract will also apply in the event of a breach of the duty of fairness.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Exculpation, Insurance and Indemnification of Office Holders</w:t>
      </w:r>
    </w:p>
    <w:p>
      <w:pPr>
        <w:spacing w:after="0" w:line="229"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color w:val="auto"/>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include such a provision. An Israeli company may not exculpate a director from liability arising out of a prohibited dividend or distribution to shareholders.</w:t>
      </w:r>
    </w:p>
    <w:p>
      <w:pPr>
        <w:spacing w:after="0" w:line="157" w:lineRule="exact"/>
        <w:rPr>
          <w:sz w:val="20"/>
          <w:szCs w:val="20"/>
          <w:color w:val="auto"/>
        </w:rPr>
      </w:pPr>
    </w:p>
    <w:p>
      <w:pPr>
        <w:jc w:val="both"/>
        <w:ind w:firstLine="441"/>
        <w:spacing w:after="0" w:line="342" w:lineRule="auto"/>
        <w:rPr>
          <w:sz w:val="20"/>
          <w:szCs w:val="20"/>
          <w:color w:val="auto"/>
        </w:rPr>
      </w:pPr>
      <w:r>
        <w:rPr>
          <w:rFonts w:ascii="Arial" w:cs="Arial" w:eastAsia="Arial" w:hAnsi="Arial"/>
          <w:sz w:val="16"/>
          <w:szCs w:val="16"/>
          <w:color w:val="auto"/>
        </w:rPr>
        <w:t>An Israeli company may indemnify an office holder in respect of the following liabilities and expenses incurred for acts performed as an office holder, either in advance of an event or following an event, provided a provision authorizing such indemnification is contained in its articles of association:</w:t>
      </w:r>
    </w:p>
    <w:p>
      <w:pPr>
        <w:spacing w:after="0" w:line="124" w:lineRule="exact"/>
        <w:rPr>
          <w:sz w:val="20"/>
          <w:szCs w:val="20"/>
          <w:color w:val="auto"/>
        </w:rPr>
      </w:pPr>
    </w:p>
    <w:p>
      <w:pPr>
        <w:jc w:val="both"/>
        <w:ind w:left="780" w:hanging="340"/>
        <w:spacing w:after="0" w:line="275" w:lineRule="auto"/>
        <w:tabs>
          <w:tab w:leader="none" w:pos="7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events and amount or criteria;</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jc w:val="both"/>
        <w:ind w:left="780" w:hanging="340"/>
        <w:spacing w:after="0" w:line="296" w:lineRule="auto"/>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reasonable litigation expenses, including legal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w:t>
      </w:r>
    </w:p>
    <w:p>
      <w:pPr>
        <w:spacing w:after="0" w:line="161" w:lineRule="exact"/>
        <w:rPr>
          <w:rFonts w:ascii="Arial" w:cs="Arial" w:eastAsia="Arial" w:hAnsi="Arial"/>
          <w:sz w:val="16"/>
          <w:szCs w:val="16"/>
          <w:color w:val="auto"/>
        </w:rPr>
      </w:pPr>
    </w:p>
    <w:p>
      <w:pPr>
        <w:jc w:val="both"/>
        <w:ind w:left="780" w:hanging="340"/>
        <w:spacing w:after="0" w:line="263"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reasonable litigation expenses, including legal fees, incurred by the office holder or imposed by a court in proceedings instituted against him or her by the company, on its behalf or by a third-party or in connection with criminal proceedings in which the office holder was acquitted or as a result of a conviction for an offense that does not require proof of criminal intent; and</w:t>
      </w:r>
    </w:p>
    <w:p>
      <w:pPr>
        <w:spacing w:after="0" w:line="183" w:lineRule="exact"/>
        <w:rPr>
          <w:rFonts w:ascii="Arial" w:cs="Arial" w:eastAsia="Arial" w:hAnsi="Arial"/>
          <w:sz w:val="18"/>
          <w:szCs w:val="18"/>
          <w:color w:val="auto"/>
        </w:rPr>
      </w:pPr>
    </w:p>
    <w:p>
      <w:pPr>
        <w:jc w:val="both"/>
        <w:ind w:left="780" w:hanging="340"/>
        <w:spacing w:after="0" w:line="286" w:lineRule="auto"/>
        <w:tabs>
          <w:tab w:leader="none" w:pos="7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expenses, including reasonable litigation expenses and legal fees, incurred by an office holder in relation to an administrative proceeding instituted against such office holder, or certain compensation payments made to an injured party imposed on an office holder by an administrative proceeding, pursuant to certain provisions of the Israeli Securities Law, 1968 (the “Israeli Securities Law”).</w:t>
      </w:r>
    </w:p>
    <w:p>
      <w:pPr>
        <w:spacing w:after="0" w:line="16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An Israeli company may insure an office holder against the following liabilities incurred for acts performed as an office holder if and to the extent provided in the company’s articles of association:</w:t>
      </w:r>
    </w:p>
    <w:p>
      <w:pPr>
        <w:spacing w:after="0" w:line="170" w:lineRule="exact"/>
        <w:rPr>
          <w:sz w:val="20"/>
          <w:szCs w:val="20"/>
          <w:color w:val="auto"/>
        </w:rPr>
      </w:pPr>
    </w:p>
    <w:p>
      <w:pPr>
        <w:ind w:left="780" w:hanging="340"/>
        <w:spacing w:after="0" w:line="277"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breach of the duty of loyalty to the company, to the extent that the office holder acted in good faith and had a reasonable basis to believe that the act would not prejudice the company;</w:t>
      </w:r>
    </w:p>
    <w:p>
      <w:pPr>
        <w:spacing w:after="0" w:line="170" w:lineRule="exact"/>
        <w:rPr>
          <w:rFonts w:ascii="Arial" w:cs="Arial" w:eastAsia="Arial" w:hAnsi="Arial"/>
          <w:sz w:val="18"/>
          <w:szCs w:val="18"/>
          <w:color w:val="auto"/>
        </w:rPr>
      </w:pPr>
    </w:p>
    <w:p>
      <w:pPr>
        <w:ind w:left="780" w:hanging="340"/>
        <w:spacing w:after="0"/>
        <w:tabs>
          <w:tab w:leader="none" w:pos="7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breach of the duty of care to the company or to a third-party, including a breach arising out of the negligent conduct of the office holder;</w:t>
      </w:r>
    </w:p>
    <w:p>
      <w:pPr>
        <w:spacing w:after="0" w:line="236" w:lineRule="exact"/>
        <w:rPr>
          <w:rFonts w:ascii="Arial" w:cs="Arial" w:eastAsia="Arial" w:hAnsi="Arial"/>
          <w:sz w:val="17"/>
          <w:szCs w:val="17"/>
          <w:color w:val="auto"/>
        </w:rPr>
      </w:pPr>
    </w:p>
    <w:p>
      <w:pPr>
        <w:ind w:left="780" w:hanging="340"/>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third-party;</w:t>
      </w:r>
    </w:p>
    <w:p>
      <w:pPr>
        <w:spacing w:after="0" w:line="225" w:lineRule="exact"/>
        <w:rPr>
          <w:rFonts w:ascii="Arial" w:cs="Arial" w:eastAsia="Arial" w:hAnsi="Arial"/>
          <w:sz w:val="18"/>
          <w:szCs w:val="18"/>
          <w:color w:val="auto"/>
        </w:rPr>
      </w:pPr>
    </w:p>
    <w:p>
      <w:pPr>
        <w:ind w:left="780" w:hanging="340"/>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third-party harmed by a breach in an administrative proceeding; and</w:t>
      </w:r>
    </w:p>
    <w:p>
      <w:pPr>
        <w:spacing w:after="0" w:line="225" w:lineRule="exact"/>
        <w:rPr>
          <w:rFonts w:ascii="Arial" w:cs="Arial" w:eastAsia="Arial" w:hAnsi="Arial"/>
          <w:sz w:val="18"/>
          <w:szCs w:val="18"/>
          <w:color w:val="auto"/>
        </w:rPr>
      </w:pPr>
    </w:p>
    <w:p>
      <w:pPr>
        <w:ind w:left="780" w:hanging="340"/>
        <w:spacing w:after="0" w:line="277"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expenses, including reasonable litigation expenses and legal fees, incurred by the office holder as a result of an administrative proceeding instituted against him or her, pursuant to certain provisions of the Israeli Securities Law.</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 Israeli company may not indemnify or insure an office holder against any of the following:</w:t>
      </w:r>
    </w:p>
    <w:p>
      <w:pPr>
        <w:spacing w:after="0" w:line="225" w:lineRule="exact"/>
        <w:rPr>
          <w:sz w:val="20"/>
          <w:szCs w:val="20"/>
          <w:color w:val="auto"/>
        </w:rPr>
      </w:pPr>
    </w:p>
    <w:p>
      <w:pPr>
        <w:ind w:left="780" w:hanging="340"/>
        <w:spacing w:after="0" w:line="277"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breach of the duty of loyalty, except to the extent that the office holder acted in good faith and had a reasonable basis to believe that the act would not prejudice the company;</w:t>
      </w:r>
    </w:p>
    <w:p>
      <w:pPr>
        <w:spacing w:after="0" w:line="170" w:lineRule="exact"/>
        <w:rPr>
          <w:rFonts w:ascii="Arial" w:cs="Arial" w:eastAsia="Arial" w:hAnsi="Arial"/>
          <w:sz w:val="18"/>
          <w:szCs w:val="18"/>
          <w:color w:val="auto"/>
        </w:rPr>
      </w:pPr>
    </w:p>
    <w:p>
      <w:pPr>
        <w:ind w:left="780" w:hanging="340"/>
        <w:spacing w:after="0"/>
        <w:tabs>
          <w:tab w:leader="none" w:pos="7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breach of the duty of care committed intentionally or recklessly, excluding a breach arising out of the negligent conduct of the office holder;</w:t>
      </w:r>
    </w:p>
    <w:p>
      <w:pPr>
        <w:spacing w:after="0" w:line="248" w:lineRule="exact"/>
        <w:rPr>
          <w:rFonts w:ascii="Arial" w:cs="Arial" w:eastAsia="Arial" w:hAnsi="Arial"/>
          <w:sz w:val="16"/>
          <w:szCs w:val="16"/>
          <w:color w:val="auto"/>
        </w:rPr>
      </w:pPr>
    </w:p>
    <w:p>
      <w:pPr>
        <w:ind w:left="780" w:hanging="340"/>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225" w:lineRule="exact"/>
        <w:rPr>
          <w:rFonts w:ascii="Arial" w:cs="Arial" w:eastAsia="Arial" w:hAnsi="Arial"/>
          <w:sz w:val="18"/>
          <w:szCs w:val="18"/>
          <w:color w:val="auto"/>
        </w:rPr>
      </w:pPr>
    </w:p>
    <w:p>
      <w:pPr>
        <w:ind w:left="780" w:hanging="340"/>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fine, monetary sanction or forfeit levied against the office holder.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0" w:name="page91"/>
    <w:bookmarkEnd w:id="90"/>
    <w:p>
      <w:pPr>
        <w:jc w:val="both"/>
        <w:ind w:firstLine="441"/>
        <w:spacing w:after="0" w:line="273" w:lineRule="auto"/>
        <w:rPr>
          <w:sz w:val="20"/>
          <w:szCs w:val="20"/>
          <w:color w:val="auto"/>
        </w:rPr>
      </w:pPr>
      <w:r>
        <w:rPr>
          <w:rFonts w:ascii="Arial" w:cs="Arial" w:eastAsia="Arial" w:hAnsi="Arial"/>
          <w:sz w:val="17"/>
          <w:szCs w:val="17"/>
          <w:color w:val="auto"/>
        </w:rPr>
        <w:t>Under the Companies Law, exculpation, indemnification and insurance of office holders must be approved by the compensation committee and the board of directors (and, with respect to directors and the chief executive officer, by the shareholders). However, under regulations promulgated under the Companies Law, the insurance of office holders does not require shareholder approval and may be approved by only the compensation committee, if the engagement terms are determined in accordance with the company’s compensation policy, which was approved by the shareholders by the same special majority required to approve a compensation policy, provided that the insurance policy is on market terms and the insurance policy is not likely to materially impact the company’s profitability, assets or obligations.</w:t>
      </w:r>
    </w:p>
    <w:p>
      <w:pPr>
        <w:spacing w:after="0" w:line="178"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Our amended and restated articles of association allow us to exculpate, indemnify and insure our office holders for any liability imposed on them as a consequence of an act (including any omission) which was performed by virtue of being an office holder. Our office holders are currently covered by a directors and officers’ liability insurance policy.</w:t>
      </w:r>
    </w:p>
    <w:p>
      <w:pPr>
        <w:spacing w:after="0" w:line="184"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have entered into agreements with each of our directors and executive officers exculpating them in advance, to the fullest extent permitted by law, from liability to us for damages caused to us as a result of a breach of duty of care, and undertaking to indemnify them to the fullest extent permitted by law. This indemnification is limited to events determined as foreseeable by the board of directors based on our activities, and to an amount or according to criteria determined by the board of directors as reasonable under the circumstances.</w:t>
      </w:r>
    </w:p>
    <w:p>
      <w:pPr>
        <w:spacing w:after="0" w:line="187"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6"/>
          <w:szCs w:val="16"/>
          <w:color w:val="auto"/>
        </w:rPr>
        <w:t>The maximum indemnification amount set forth in such agreements is limited to an amount equal to the higher of $50 million and 25% of our total shareholders’ equity as reflected in our most recent consolidated financial statements prior to the date on which the indemnity payment is made (other than indemnification for an offering of securities to the public, including by a shareholder in a secondary offering, in which case the maximum indemnification amount is limited to the gross proceeds raised by us and/or any selling shareholder in such public offering). The maximum amount set forth in such agreements is in addition to any amount paid (if paid) under insurance and/or by a third-party pursuant to an indemnification arrangement.</w:t>
      </w:r>
    </w:p>
    <w:p>
      <w:pPr>
        <w:spacing w:after="0" w:line="161"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In the opinion of the SEC, indemnification of directors and office holders for liabilities arising under the Securities Act, however, is against public policy and therefore unenforceable.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Auditor</w:t>
      </w:r>
    </w:p>
    <w:p>
      <w:pPr>
        <w:spacing w:after="0" w:line="229"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Under the Companies Law, the board of directors of a public company must appoint an internal auditor based on the recommendation of the audit committee. The role of the internal auditor is, among other things, to examine whether a company’s actions comply with applicable law and orderly business procedure. Under the Companies Law, the internal auditor cannot be an interested party or an office holder or a relative of an interested party or an office holder, nor may the internal auditor be the company’s independent auditor or its representative. An “interested party” is defined in the Companies Law as (i) a holder of 5% or more of the issued share capital or voting power in a company, (ii) any person or entity who has the right to designate one or more directors or to designate the chief executive officer of the company or (iii) any person who serves as a director or as chief executive officer of the company. Fahn Kanne Control Management Ltd., Grant Thornton Israel, serves as our internal auditor.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6.D. EMPLOYEES</w:t>
      </w:r>
    </w:p>
    <w:p>
      <w:pPr>
        <w:spacing w:after="0" w:line="22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As of December 31, 2021, we had 576 employees, including 293 in the US, 133 in Tel Aviv and 150 employees in other international locations. None of our employees are represented by labor unions or covered by collective bargaining agreements. We consider our relationship with our employees to be good.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6.E. SHARE OWNERSHIP</w:t>
      </w:r>
    </w:p>
    <w:p>
      <w:pPr>
        <w:spacing w:after="0" w:line="22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For information regarding the share ownership of directors and officers, see Item 7.A. “</w:t>
      </w:r>
      <w:r>
        <w:rPr>
          <w:rFonts w:ascii="Arial" w:cs="Arial" w:eastAsia="Arial" w:hAnsi="Arial"/>
          <w:sz w:val="18"/>
          <w:szCs w:val="18"/>
          <w:i w:val="1"/>
          <w:iCs w:val="1"/>
          <w:color w:val="auto"/>
        </w:rPr>
        <w:t>Major Shareholders and Related Party Transactions-Major</w:t>
      </w:r>
      <w:r>
        <w:rPr>
          <w:rFonts w:ascii="Arial" w:cs="Arial" w:eastAsia="Arial" w:hAnsi="Arial"/>
          <w:sz w:val="18"/>
          <w:szCs w:val="18"/>
          <w:color w:val="auto"/>
        </w:rPr>
        <w:t xml:space="preserve"> </w:t>
      </w:r>
      <w:r>
        <w:rPr>
          <w:rFonts w:ascii="Arial" w:cs="Arial" w:eastAsia="Arial" w:hAnsi="Arial"/>
          <w:sz w:val="18"/>
          <w:szCs w:val="18"/>
          <w:i w:val="1"/>
          <w:iCs w:val="1"/>
          <w:color w:val="auto"/>
        </w:rPr>
        <w:t>Shareholders.</w:t>
      </w:r>
      <w:r>
        <w:rPr>
          <w:rFonts w:ascii="Arial" w:cs="Arial" w:eastAsia="Arial" w:hAnsi="Arial"/>
          <w:sz w:val="18"/>
          <w:szCs w:val="18"/>
          <w:color w:val="auto"/>
        </w:rPr>
        <w:t>” For information as to our equity incentive plans, see Item 6.B. “</w:t>
      </w:r>
      <w:r>
        <w:rPr>
          <w:rFonts w:ascii="Arial" w:cs="Arial" w:eastAsia="Arial" w:hAnsi="Arial"/>
          <w:sz w:val="18"/>
          <w:szCs w:val="18"/>
          <w:i w:val="1"/>
          <w:iCs w:val="1"/>
          <w:color w:val="auto"/>
        </w:rPr>
        <w:t>Director, Senior Management and Employees-Compensation-Share Option Plans.</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7.A. MAJOR SHAREHOLDERS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March 4, 2022:</w:t>
      </w:r>
    </w:p>
    <w:p>
      <w:pPr>
        <w:spacing w:after="0" w:line="225" w:lineRule="exact"/>
        <w:rPr>
          <w:sz w:val="20"/>
          <w:szCs w:val="20"/>
          <w:color w:val="auto"/>
        </w:rPr>
      </w:pPr>
    </w:p>
    <w:p>
      <w:pPr>
        <w:ind w:left="780" w:hanging="340"/>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more than 5% of our outstanding ordinary shares;</w:t>
      </w:r>
    </w:p>
    <w:p>
      <w:pPr>
        <w:spacing w:after="0" w:line="225" w:lineRule="exact"/>
        <w:rPr>
          <w:rFonts w:ascii="Arial" w:cs="Arial" w:eastAsia="Arial" w:hAnsi="Arial"/>
          <w:sz w:val="18"/>
          <w:szCs w:val="18"/>
          <w:color w:val="auto"/>
        </w:rPr>
      </w:pPr>
    </w:p>
    <w:p>
      <w:pPr>
        <w:ind w:left="780" w:hanging="340"/>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225" w:lineRule="exact"/>
        <w:rPr>
          <w:rFonts w:ascii="Arial" w:cs="Arial" w:eastAsia="Arial" w:hAnsi="Arial"/>
          <w:sz w:val="18"/>
          <w:szCs w:val="18"/>
          <w:color w:val="auto"/>
        </w:rPr>
      </w:pPr>
    </w:p>
    <w:p>
      <w:pPr>
        <w:ind w:left="780" w:hanging="340"/>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The beneficial ownership of ordinary shares is determined in accordance with the SEC rules and generally includes any ordinary shares over which a person exercises sole or shared voting or investment power, which includes the power to dispose of or to direct the disposition of such security. For purposes of the table below, we deem shares subject to options, RSUs or PSUs that are currently exercisable or exercisable or vested within 60 days of March 4, 2022 to be outstanding and to be beneficially owned by the person holding the options RSUs, or PSUs for the purposes of computing the percentage ownership of that person but we do not treat them as outstanding for the purpose of computing the percentage ownership of any other person, except with respect to the ownership and percentage ownership of all executive officers and directors as a group.</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percentage of shares beneficially owned after based 154,377,856 ordinary shares outstanding as of March 4, 2022.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noted below, each shareholder’s address is 82 Yigal Alon Street, Tel Aviv, 6789124, Israel.</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A description of any material relationship that our principal shareholders have had with us or any of our affiliates within the past three years is included under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4178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178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Mithaq Capital SPC (1)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Toscafund Asset Management LLP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Schroder Investment Management Limited (3)</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News Corporation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Ofer Druker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Sagi Niri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Yaniv Carmi</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Christopher Stibbs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Rebekah Brooks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Norm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Neil Jones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Joanna Parnell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Lisa Klinger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All executive officers and directors as a group (9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71"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Indicates ownership of less than 1%.</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Beneficial Ownership as of</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March 4, 2022</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40" w:type="dxa"/>
            <w:vAlign w:val="bottom"/>
            <w:tcBorders>
              <w:top w:val="single" w:sz="8" w:color="auto"/>
            </w:tcBorders>
            <w:gridSpan w:val="2"/>
          </w:tcPr>
          <w:p>
            <w:pPr>
              <w:jc w:val="center"/>
              <w:ind w:right="220"/>
              <w:spacing w:after="0" w:line="205" w:lineRule="exact"/>
              <w:rPr>
                <w:sz w:val="20"/>
                <w:szCs w:val="20"/>
                <w:color w:val="auto"/>
              </w:rPr>
            </w:pPr>
            <w:r>
              <w:rPr>
                <w:rFonts w:ascii="Arial" w:cs="Arial" w:eastAsia="Arial" w:hAnsi="Arial"/>
                <w:sz w:val="18"/>
                <w:szCs w:val="18"/>
                <w:b w:val="1"/>
                <w:bCs w:val="1"/>
                <w:color w:val="auto"/>
                <w:w w:val="95"/>
              </w:rPr>
              <w:t>Ordinary</w:t>
            </w:r>
          </w:p>
        </w:tc>
        <w:tc>
          <w:tcPr>
            <w:tcW w:w="1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41"/>
        </w:trPr>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Voting Power</w:t>
            </w:r>
          </w:p>
        </w:tc>
      </w:tr>
      <w:tr>
        <w:trPr>
          <w:trHeight w:val="223"/>
        </w:trPr>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r>
      <w:tr>
        <w:trPr>
          <w:trHeight w:val="486"/>
        </w:trPr>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34,028,700</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22.0</w:t>
            </w:r>
          </w:p>
        </w:tc>
      </w:tr>
      <w:tr>
        <w:trPr>
          <w:trHeight w:val="243"/>
        </w:trPr>
        <w:tc>
          <w:tcPr>
            <w:tcW w:w="1120" w:type="dxa"/>
            <w:vAlign w:val="bottom"/>
          </w:tcPr>
          <w:p>
            <w:pPr>
              <w:jc w:val="right"/>
              <w:spacing w:after="0"/>
              <w:rPr>
                <w:sz w:val="20"/>
                <w:szCs w:val="20"/>
                <w:color w:val="auto"/>
              </w:rPr>
            </w:pPr>
            <w:r>
              <w:rPr>
                <w:rFonts w:ascii="Arial" w:cs="Arial" w:eastAsia="Arial" w:hAnsi="Arial"/>
                <w:sz w:val="18"/>
                <w:szCs w:val="18"/>
                <w:color w:val="auto"/>
              </w:rPr>
              <w:t>20,683,163</w:t>
            </w:r>
          </w:p>
        </w:tc>
        <w:tc>
          <w:tcPr>
            <w:tcW w:w="2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r>
      <w:tr>
        <w:trPr>
          <w:trHeight w:val="243"/>
        </w:trPr>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15,456,133</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r>
      <w:tr>
        <w:trPr>
          <w:trHeight w:val="243"/>
        </w:trPr>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8,525,323</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r>
      <w:tr>
        <w:trPr>
          <w:trHeight w:val="729"/>
        </w:trPr>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4,029,511</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r>
      <w:tr>
        <w:trPr>
          <w:trHeight w:val="243"/>
        </w:trPr>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473,900</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1,794,187</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57"/>
        </w:trPr>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6,302,598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4.0%</w:t>
            </w:r>
          </w:p>
        </w:tc>
      </w:tr>
    </w:tbl>
    <w:p>
      <w:pPr>
        <w:spacing w:after="0" w:line="608" w:lineRule="exact"/>
        <w:rPr>
          <w:sz w:val="20"/>
          <w:szCs w:val="20"/>
          <w:color w:val="auto"/>
        </w:rPr>
      </w:pPr>
    </w:p>
    <w:p>
      <w:pPr>
        <w:sectPr>
          <w:pgSz w:w="11900" w:h="16838" w:orient="portrait"/>
          <w:cols w:equalWidth="0" w:num="2">
            <w:col w:w="7920" w:space="720"/>
            <w:col w:w="2600"/>
          </w:cols>
          <w:pgMar w:left="320" w:top="337" w:right="339" w:bottom="1440" w:gutter="0" w:footer="0" w:header="0"/>
          <w:type w:val="continuous"/>
        </w:sect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2" w:name="page93"/>
    <w:bookmarkEnd w:id="92"/>
    <w:p>
      <w:pPr>
        <w:jc w:val="both"/>
        <w:ind w:firstLine="449"/>
        <w:spacing w:after="0" w:line="293" w:lineRule="auto"/>
        <w:tabs>
          <w:tab w:leader="none" w:pos="703"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This information is based upon a Schedule 13D/A filed by Mithaq Capital SPC with the SEC on September 9, 2021, and a Form TR-1 provided by Mithaq Capital SPC on December 7, 2021. The address of Mithaq Capital SPC is c/o Synergy, Anas Ibn Malik Road Al Malqa, Riyadh 13521 Saudi Arabia. Mithaq Capital SPC is managed by its Board of Directors, which consists of Turki Saleh A. AlRajhi and Muhammad Asif Seemab, and the Board has exclusive authority concerning purchases, dispositions and voting of the ordinary shares. Each of Mr. AlRajhi and Mr. Seemab possesses an ownership interest in Mithaq Capital SPC, and Mr. Seemab may share in any profits realized from Mithaq Capital SPC’s investment in the ordinary shares. Based on publicly available information, Mithaq Capital SPC did not own any ordinary shares of the Company as of December 31, 2018.</w:t>
      </w:r>
    </w:p>
    <w:p>
      <w:pPr>
        <w:spacing w:after="0" w:line="164" w:lineRule="exact"/>
        <w:rPr>
          <w:rFonts w:ascii="Arial" w:cs="Arial" w:eastAsia="Arial" w:hAnsi="Arial"/>
          <w:sz w:val="16"/>
          <w:szCs w:val="16"/>
          <w:color w:val="auto"/>
        </w:rPr>
      </w:pPr>
    </w:p>
    <w:p>
      <w:pPr>
        <w:jc w:val="both"/>
        <w:ind w:firstLine="449"/>
        <w:spacing w:after="0" w:line="234" w:lineRule="auto"/>
        <w:tabs>
          <w:tab w:leader="none" w:pos="69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information is based upon a Schedule 13G filed by Toscafund Asset Management LLP, or Toscafund, with the SEC on March 1, 2022, and a Form TR-1 provided by Toscafund on February 24, 2022 and other information provided to the Company by Toscafund. The address of Toscafund is 7th Floor, 90 Long Acre, London, WC2E 9RA. The ordinary shares and ADSs are directly held by the following funds controlled by Toscafund: Tosca Opportunity and Tosca MidCap each of which is a Cayman Island Exempted Company, with its principal office at Ugland House Box 309, Grand Cayman, Cayman Islands KY1-1104, and The Pegasus Fund Ltd, an entity formed in Bermuda with its principal office at Cumberland House, 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1 Victoria Street, Hamilton HM11, Bermuda. Based on information available on the Schedule 13G and Form TR-1, the ownership percentage of Toscafund decreased from 17.8% of the outstanding ordinary shares of the Company as of April 29, 2019 to 12.0% of the outstanding ordinary shares of the Company as of December 31, 2021.</w:t>
      </w:r>
    </w:p>
    <w:p>
      <w:pPr>
        <w:spacing w:after="0" w:line="206" w:lineRule="exact"/>
        <w:rPr>
          <w:rFonts w:ascii="Arial" w:cs="Arial" w:eastAsia="Arial" w:hAnsi="Arial"/>
          <w:sz w:val="18"/>
          <w:szCs w:val="18"/>
          <w:color w:val="auto"/>
        </w:rPr>
      </w:pPr>
    </w:p>
    <w:p>
      <w:pPr>
        <w:jc w:val="both"/>
        <w:ind w:firstLine="449"/>
        <w:spacing w:after="0" w:line="254" w:lineRule="auto"/>
        <w:tabs>
          <w:tab w:leader="none" w:pos="71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information is based upon a Form TR-1 provided by Schroder plc on February 25, 2022. Schroder Investment Management Limited is formed in England and is directly or indirectly controlled by Schroder plc, an asset manager formed in England and operating from 37 locations across Europe, the Americas, Asia, the Middle East and Africa, (ii) the business address of Schroder Investment Management Limited is 1 London Wall Place, London EC2Y 5AU, United Kingdom, (iii) Schroder Investment Management Limited and Schroder plc may exercise (directly or indirectly) shared voting and dispositive power over the shares owned by Schroder Investment Management Limited and therefore may be deemed to have beneficial ownership over 15,456,133 ordinary shares of the Company. Based on information available on Form TR-1, the ownership percentage of Schroder Investment Management Limited increased from 8.4% of the outstanding ordinary shares of the Company as of April 29, 2019 to 10.0% of the outstanding ordinary shares of the Company as of February 25, 2022.</w:t>
      </w:r>
    </w:p>
    <w:p>
      <w:pPr>
        <w:spacing w:after="0" w:line="191" w:lineRule="exact"/>
        <w:rPr>
          <w:rFonts w:ascii="Arial" w:cs="Arial" w:eastAsia="Arial" w:hAnsi="Arial"/>
          <w:sz w:val="18"/>
          <w:szCs w:val="18"/>
          <w:color w:val="auto"/>
        </w:rPr>
      </w:pPr>
    </w:p>
    <w:p>
      <w:pPr>
        <w:jc w:val="both"/>
        <w:ind w:firstLine="449"/>
        <w:spacing w:after="0" w:line="257"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information is based upon a Schedule 13G filed by New Corporation with the SEC on February 10, 2022. The address of News Corporation is 1211 Avenue of the Americas, New York, New York 10036. News Corp UK &amp; Ireland Limited and News Preferred Holdings Inc, both wholly-owned subsidiaries of News Corporation, are the record holders of the 8,525,323 ordinary shares of the Company. News Corporation has sole voting and investment power with respect to the ordinary shares of the Company held by such subsidiaries. Based on publicly available information, News Corporation did not own any ordinary shares of the Company as of December 31, 2018.</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Significant Changes in Percentage Ownership</w:t>
      </w:r>
    </w:p>
    <w:p>
      <w:pPr>
        <w:spacing w:after="0" w:line="22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On February 23, 2022, our board of directors authorized a repurchase plan under which up to $75 million is available to purchase our ordinary shares on the AIM Market. The repurchase plan commenced on March 1, 2022 and will continue until either September 1, 2022, or until it has been completed. All share repurchases will be made in accordance with all applicable securities laws and regulations.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Other than as set forth above and otherwise disclosed in this annual report, no significant changes have occurred since December 31, 2021.</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7.B. RELATED PARTY TRANSACTIONS</w:t>
      </w:r>
    </w:p>
    <w:p>
      <w:pPr>
        <w:spacing w:after="0" w:line="229"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Our policy is to enter into transactions with related parties on terms that, on the whole, are no more or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description of our related party transactions since January 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Directors and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We have entered into written employment agreements with each of our executive officers. See “</w:t>
      </w:r>
      <w:r>
        <w:rPr>
          <w:rFonts w:ascii="Arial" w:cs="Arial" w:eastAsia="Arial" w:hAnsi="Arial"/>
          <w:sz w:val="18"/>
          <w:szCs w:val="18"/>
          <w:i w:val="1"/>
          <w:iCs w:val="1"/>
          <w:color w:val="auto"/>
        </w:rPr>
        <w:t>ITEM 6 Directors, Senior Management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Awards</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Since our inception, we have granted to our executive officers and certain of our directors restricted share units, performance share units and options to purchase our ordinary shares. See “</w:t>
      </w:r>
      <w:r>
        <w:rPr>
          <w:rFonts w:ascii="Arial" w:cs="Arial" w:eastAsia="Arial" w:hAnsi="Arial"/>
          <w:sz w:val="18"/>
          <w:szCs w:val="18"/>
          <w:i w:val="1"/>
          <w:iCs w:val="1"/>
          <w:color w:val="auto"/>
        </w:rPr>
        <w:t>ITEM 6 Directors, Senior Management and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Exculpation, Indemnification and Insurance</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Our amended and restated articles of association permit us to exculpate, indemnify and insure certain of our office holders to the fullest extent permitted by the Companies Law. We have entered into agreements with each of our directors and executive officers exculpating them in advance, to the fullest extent permitted by law, from liability to us for damages caused to us as a result of a breach of duty of care, and undertaking to indemnify them to the fullest extent permitted by law. See “</w:t>
      </w:r>
      <w:r>
        <w:rPr>
          <w:rFonts w:ascii="Arial" w:cs="Arial" w:eastAsia="Arial" w:hAnsi="Arial"/>
          <w:sz w:val="18"/>
          <w:szCs w:val="18"/>
          <w:i w:val="1"/>
          <w:iCs w:val="1"/>
          <w:color w:val="auto"/>
        </w:rPr>
        <w:t>ITEM 6 Directors, Senior Management and Employees.”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Appointment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current board of directors consists of nine directors. We are not a party to, and are not aware of, any voting agreements among our shareholders.</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Related Party Transaction Policy</w:t>
      </w:r>
    </w:p>
    <w:p>
      <w:pPr>
        <w:spacing w:after="0" w:line="22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Our board of directors has adopted a written related party transaction policy to set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7.C. INTERESTS OF EXPERTS AND COUNSEL</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INFORMATION</w:t>
      </w:r>
    </w:p>
    <w:p>
      <w:pPr>
        <w:spacing w:after="0" w:line="225" w:lineRule="exact"/>
        <w:rPr>
          <w:sz w:val="20"/>
          <w:szCs w:val="20"/>
          <w:color w:val="auto"/>
        </w:rPr>
      </w:pPr>
    </w:p>
    <w:p>
      <w:pPr>
        <w:ind w:right="5060"/>
        <w:spacing w:after="0" w:line="503" w:lineRule="auto"/>
        <w:rPr>
          <w:sz w:val="20"/>
          <w:szCs w:val="20"/>
          <w:color w:val="auto"/>
        </w:rPr>
      </w:pPr>
      <w:r>
        <w:rPr>
          <w:rFonts w:ascii="Arial" w:cs="Arial" w:eastAsia="Arial" w:hAnsi="Arial"/>
          <w:sz w:val="18"/>
          <w:szCs w:val="18"/>
          <w:b w:val="1"/>
          <w:bCs w:val="1"/>
          <w:color w:val="auto"/>
        </w:rPr>
        <w:t>8.A. COMBINED STATEMENTS AND OTHER FINANCIAL INFORMATION Combined Financial Statements</w:t>
      </w:r>
    </w:p>
    <w:p>
      <w:pPr>
        <w:ind w:left="440"/>
        <w:spacing w:after="0"/>
        <w:rPr>
          <w:sz w:val="20"/>
          <w:szCs w:val="20"/>
          <w:color w:val="auto"/>
        </w:rPr>
      </w:pPr>
      <w:r>
        <w:rPr>
          <w:rFonts w:ascii="Arial" w:cs="Arial" w:eastAsia="Arial" w:hAnsi="Arial"/>
          <w:sz w:val="16"/>
          <w:szCs w:val="16"/>
          <w:color w:val="auto"/>
        </w:rPr>
        <w:t>We have appended our audited consolidated financial statements at the end of this annual report, starting at page F-31, as part of this annual report.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may from time to time, be party to legal or regulatory proceedings arising in the ordinary course of business. Defending any such legal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7"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On May 18, 2021, we filed a complaint against Alphonso, Inc. (“Alphonso”) in the Supreme Court of the State of New York, County of New York (the “Court”), asserting claims for breach of contract, tortious interference with business relations, intentional interference with contractual relations, unjust enrichment, and conversion. The lawsuit arose out of Alphonso’s breach of a Strategic Partnership Agreement and an Advance Payment Obligation and Security Agreement (the “Security Agreement”) with us, and related misconduct. We are seeking damages and other relief, including an order foreclosing on Alphonso’s collateral under the Security Agreement, from the Court. On May 24, 2021, Alphonso filed a complaint against Tremor in the Supreme Court of the State of New York, County of New York, asserting claims for breach of contract, unfair competition, and tortious interference with business relations. Alphonso and Tremor are currently engaged in written discovery.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Dividend Distributions</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do not anticipate paying any dividends in the foreseeable future. We currently intend to retain future earnings, if any, to finance operations and expand our business. 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w:t>
      </w:r>
    </w:p>
    <w:p>
      <w:pPr>
        <w:spacing w:after="0" w:line="187"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color w:val="auto"/>
        </w:rPr>
        <w:t>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Although we have paid dividends in the past, we do not anticipate paying any dividends in the foreseeable future.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both"/>
        <w:ind w:firstLine="441"/>
        <w:spacing w:after="0" w:line="293" w:lineRule="auto"/>
        <w:rPr>
          <w:sz w:val="20"/>
          <w:szCs w:val="20"/>
          <w:color w:val="auto"/>
        </w:rPr>
      </w:pPr>
      <w:r>
        <w:rPr>
          <w:rFonts w:ascii="Arial" w:cs="Arial" w:eastAsia="Arial" w:hAnsi="Arial"/>
          <w:sz w:val="16"/>
          <w:szCs w:val="16"/>
          <w:color w:val="auto"/>
        </w:rPr>
        <w:t>The Companies Law imposes restrictions on our ability to declare and pay dividends. Pursuant to the Companies Law, the distribution amount is limited to the greater of retained earnings or earnings generated over the previous two years, according to our then last reviewed or audited financial statements (less the amount of previously distributed dividends, if not reduced from the earnings), provided that the end of the period to which the financial statements relate is not more than six months prior to the date of the distribution. If we do not meet such criteria, then we may distribute dividends only with court approval. In each case, we are only permitted to distribute a dividend if our board of directors and, if applicable, the court determines that there is no reasonable concern that payment of the dividend will prevent us from satisfying our existing and foreseeable obligations as they become due.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8.B. SIGNIFICANT CHANGES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significant changes have occurred since December 31, 2021, except as otherwise disclosed in this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THE OFFER AND LISTING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9.A. OFFER AND LISTING DETAILS</w:t>
      </w:r>
    </w:p>
    <w:p>
      <w:pPr>
        <w:spacing w:after="0" w:line="22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Our ADSs have been listed on the Nasdaq Global Market under the symbol “TRMR” since June 18, 2021. Each ADS represents the right to receive two ordinary shares. Prior to that date, there was no public trading market for our ADSs. Our ordinary shares have traded on AIM, a market operated by the London Stock Exchange, under the symbol “TRMR,” since May 28, 2014.</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4, 2022 the last reported sale price of our ADSs on the Nasdaq Global Market was $14.19 per ADS.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Citibank, N.A. is the depositary bank for the ADSs. Citibank’s depositary offices are located at 388 Greenwich Street, New York, New York 10013.</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9.B. PLAN OF DISTRIBUTION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9.C. MARKETS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9.A Offer and Listing Details.”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9.D. SELLING SHAREHOLDERS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9.E. DILUTION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9.F. EXPENSES OF THE ISSUE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10.A. SHARE CAPITAL</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10.B. MEMORANDUM AND ARTICLES OF ASSOCIATION</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Our authorized share capital consists of 500,000,000 ordinary shares, par value NIS 0.01 per share, of which 154,377,856 shares are issued and outstanding as of March 4, 2022, and 29,196,596 ordinary shares are held in treasury.</w:t>
      </w:r>
    </w:p>
    <w:p>
      <w:pPr>
        <w:spacing w:after="0" w:line="1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A copy of our amended and restated articles of association is attached as Exhibit 1.1 to this annual report on Form 20-F. The information called for by this item is set forth in Exhibit 2.1 to this annual report on Form 20-F and is incorporated herein by reference</w:t>
      </w:r>
      <w:r>
        <w:rPr>
          <w:rFonts w:ascii="Arial" w:cs="Arial" w:eastAsia="Arial" w:hAnsi="Arial"/>
          <w:sz w:val="18"/>
          <w:szCs w:val="18"/>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10.C. MATERIAL CONTRACTS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Summaries of the following material contracts and amendments to these contracts are included in this annual report in the places indicated.</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580" w:type="dxa"/>
            <w:vAlign w:val="bottom"/>
            <w:tcBorders>
              <w:top w:val="single" w:sz="8" w:color="auto"/>
              <w:left w:val="single" w:sz="8" w:color="auto"/>
              <w:right w:val="single" w:sz="8" w:color="auto"/>
            </w:tcBorders>
          </w:tcPr>
          <w:p>
            <w:pPr>
              <w:ind w:left="2080"/>
              <w:spacing w:after="0"/>
              <w:rPr>
                <w:sz w:val="20"/>
                <w:szCs w:val="20"/>
                <w:color w:val="auto"/>
              </w:rPr>
            </w:pPr>
            <w:r>
              <w:rPr>
                <w:rFonts w:ascii="Arial" w:cs="Arial" w:eastAsia="Arial" w:hAnsi="Arial"/>
                <w:sz w:val="18"/>
                <w:szCs w:val="18"/>
                <w:b w:val="1"/>
                <w:bCs w:val="1"/>
                <w:color w:val="auto"/>
              </w:rPr>
              <w:t>Material Contract</w:t>
            </w:r>
          </w:p>
        </w:tc>
        <w:tc>
          <w:tcPr>
            <w:tcW w:w="5660" w:type="dxa"/>
            <w:vAlign w:val="bottom"/>
            <w:tcBorders>
              <w:top w:val="single" w:sz="8" w:color="auto"/>
              <w:right w:val="single" w:sz="8" w:color="auto"/>
            </w:tcBorders>
          </w:tcPr>
          <w:p>
            <w:pPr>
              <w:ind w:left="1540"/>
              <w:spacing w:after="0"/>
              <w:rPr>
                <w:sz w:val="20"/>
                <w:szCs w:val="20"/>
                <w:color w:val="auto"/>
              </w:rPr>
            </w:pPr>
            <w:r>
              <w:rPr>
                <w:rFonts w:ascii="Arial" w:cs="Arial" w:eastAsia="Arial" w:hAnsi="Arial"/>
                <w:sz w:val="18"/>
                <w:szCs w:val="18"/>
                <w:b w:val="1"/>
                <w:bCs w:val="1"/>
                <w:color w:val="auto"/>
              </w:rPr>
              <w:t>Location in This Annual Report</w:t>
            </w:r>
          </w:p>
        </w:tc>
      </w:tr>
      <w:tr>
        <w:trPr>
          <w:trHeight w:val="27"/>
        </w:trPr>
        <w:tc>
          <w:tcPr>
            <w:tcW w:w="5580" w:type="dxa"/>
            <w:vAlign w:val="bottom"/>
            <w:tcBorders>
              <w:left w:val="single" w:sz="8" w:color="auto"/>
              <w:bottom w:val="single" w:sz="8" w:color="auto"/>
              <w:right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r>
      <w:tr>
        <w:trPr>
          <w:trHeight w:val="222"/>
        </w:trPr>
        <w:tc>
          <w:tcPr>
            <w:tcW w:w="5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Global Share Incentive Plan (2011)</w:t>
            </w:r>
          </w:p>
        </w:tc>
        <w:tc>
          <w:tcPr>
            <w:tcW w:w="566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w w:val="94"/>
              </w:rPr>
              <w:t>“ITEM 6.B Directors, Senior Management and Employees – Compensation</w:t>
            </w:r>
          </w:p>
        </w:tc>
      </w:tr>
      <w:tr>
        <w:trPr>
          <w:trHeight w:val="230"/>
        </w:trPr>
        <w:tc>
          <w:tcPr>
            <w:tcW w:w="5580" w:type="dxa"/>
            <w:vAlign w:val="bottom"/>
            <w:tcBorders>
              <w:left w:val="single" w:sz="8" w:color="auto"/>
              <w:right w:val="single" w:sz="8" w:color="auto"/>
            </w:tcBorders>
          </w:tcPr>
          <w:p>
            <w:pPr>
              <w:spacing w:after="0"/>
              <w:rPr>
                <w:sz w:val="20"/>
                <w:szCs w:val="20"/>
                <w:color w:val="auto"/>
              </w:rPr>
            </w:pPr>
          </w:p>
        </w:tc>
        <w:tc>
          <w:tcPr>
            <w:tcW w:w="566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 Equity Incentive Plans.”</w:t>
            </w:r>
          </w:p>
        </w:tc>
      </w:tr>
      <w:tr>
        <w:trPr>
          <w:trHeight w:val="27"/>
        </w:trPr>
        <w:tc>
          <w:tcPr>
            <w:tcW w:w="5580" w:type="dxa"/>
            <w:vAlign w:val="bottom"/>
            <w:tcBorders>
              <w:left w:val="single" w:sz="8" w:color="auto"/>
              <w:bottom w:val="single" w:sz="8" w:color="auto"/>
              <w:right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r>
      <w:tr>
        <w:trPr>
          <w:trHeight w:val="222"/>
        </w:trPr>
        <w:tc>
          <w:tcPr>
            <w:tcW w:w="5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2017 Equity Incentive Plan</w:t>
            </w:r>
          </w:p>
        </w:tc>
        <w:tc>
          <w:tcPr>
            <w:tcW w:w="566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w w:val="94"/>
              </w:rPr>
              <w:t>“ITEM 6.B Directors, Senior Management and Employees – Compensation</w:t>
            </w:r>
          </w:p>
        </w:tc>
      </w:tr>
      <w:tr>
        <w:trPr>
          <w:trHeight w:val="230"/>
        </w:trPr>
        <w:tc>
          <w:tcPr>
            <w:tcW w:w="5580" w:type="dxa"/>
            <w:vAlign w:val="bottom"/>
            <w:tcBorders>
              <w:left w:val="single" w:sz="8" w:color="auto"/>
              <w:right w:val="single" w:sz="8" w:color="auto"/>
            </w:tcBorders>
          </w:tcPr>
          <w:p>
            <w:pPr>
              <w:spacing w:after="0"/>
              <w:rPr>
                <w:sz w:val="20"/>
                <w:szCs w:val="20"/>
                <w:color w:val="auto"/>
              </w:rPr>
            </w:pPr>
          </w:p>
        </w:tc>
        <w:tc>
          <w:tcPr>
            <w:tcW w:w="566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 Equity Incentive Plans.”</w:t>
            </w:r>
          </w:p>
        </w:tc>
      </w:tr>
      <w:tr>
        <w:trPr>
          <w:trHeight w:val="27"/>
        </w:trPr>
        <w:tc>
          <w:tcPr>
            <w:tcW w:w="5580" w:type="dxa"/>
            <w:vAlign w:val="bottom"/>
            <w:tcBorders>
              <w:left w:val="single" w:sz="8" w:color="auto"/>
              <w:bottom w:val="single" w:sz="8" w:color="auto"/>
              <w:right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r>
      <w:tr>
        <w:trPr>
          <w:trHeight w:val="222"/>
        </w:trPr>
        <w:tc>
          <w:tcPr>
            <w:tcW w:w="5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Compensation Policy</w:t>
            </w:r>
          </w:p>
        </w:tc>
        <w:tc>
          <w:tcPr>
            <w:tcW w:w="566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w w:val="98"/>
              </w:rPr>
              <w:t>“ITEM  6.C  Directors,  Senior  Management  and  Employees  –  Board</w:t>
            </w:r>
          </w:p>
        </w:tc>
      </w:tr>
      <w:tr>
        <w:trPr>
          <w:trHeight w:val="230"/>
        </w:trPr>
        <w:tc>
          <w:tcPr>
            <w:tcW w:w="5580" w:type="dxa"/>
            <w:vAlign w:val="bottom"/>
            <w:tcBorders>
              <w:left w:val="single" w:sz="8" w:color="auto"/>
              <w:right w:val="single" w:sz="8" w:color="auto"/>
            </w:tcBorders>
          </w:tcPr>
          <w:p>
            <w:pPr>
              <w:spacing w:after="0"/>
              <w:rPr>
                <w:sz w:val="20"/>
                <w:szCs w:val="20"/>
                <w:color w:val="auto"/>
              </w:rPr>
            </w:pPr>
          </w:p>
        </w:tc>
        <w:tc>
          <w:tcPr>
            <w:tcW w:w="566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Practices – Compensation Policy under the Companies Law.”</w:t>
            </w:r>
          </w:p>
        </w:tc>
      </w:tr>
      <w:tr>
        <w:trPr>
          <w:trHeight w:val="27"/>
        </w:trPr>
        <w:tc>
          <w:tcPr>
            <w:tcW w:w="5580" w:type="dxa"/>
            <w:vAlign w:val="bottom"/>
            <w:tcBorders>
              <w:left w:val="single" w:sz="8" w:color="auto"/>
              <w:bottom w:val="single" w:sz="8" w:color="auto"/>
              <w:right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r>
      <w:tr>
        <w:trPr>
          <w:trHeight w:val="222"/>
        </w:trPr>
        <w:tc>
          <w:tcPr>
            <w:tcW w:w="5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Form of Indemnification Agreement</w:t>
            </w:r>
          </w:p>
        </w:tc>
        <w:tc>
          <w:tcPr>
            <w:tcW w:w="566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“ITEM 6.C – Directors, Senior Management and Employees – Board</w:t>
            </w:r>
          </w:p>
        </w:tc>
      </w:tr>
      <w:tr>
        <w:trPr>
          <w:trHeight w:val="230"/>
        </w:trPr>
        <w:tc>
          <w:tcPr>
            <w:tcW w:w="5580" w:type="dxa"/>
            <w:vAlign w:val="bottom"/>
            <w:tcBorders>
              <w:left w:val="single" w:sz="8" w:color="auto"/>
              <w:right w:val="single" w:sz="8" w:color="auto"/>
            </w:tcBorders>
          </w:tcPr>
          <w:p>
            <w:pPr>
              <w:spacing w:after="0"/>
              <w:rPr>
                <w:sz w:val="20"/>
                <w:szCs w:val="20"/>
                <w:color w:val="auto"/>
              </w:rPr>
            </w:pPr>
          </w:p>
        </w:tc>
        <w:tc>
          <w:tcPr>
            <w:tcW w:w="566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w w:val="95"/>
              </w:rPr>
              <w:t>Practices – Exculpation, Insurance and Indemnification of Office Holders.”</w:t>
            </w:r>
          </w:p>
        </w:tc>
      </w:tr>
      <w:tr>
        <w:trPr>
          <w:trHeight w:val="27"/>
        </w:trPr>
        <w:tc>
          <w:tcPr>
            <w:tcW w:w="5580" w:type="dxa"/>
            <w:vAlign w:val="bottom"/>
            <w:tcBorders>
              <w:left w:val="single" w:sz="8" w:color="auto"/>
              <w:bottom w:val="single" w:sz="8" w:color="auto"/>
              <w:right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r>
      <w:tr>
        <w:trPr>
          <w:trHeight w:val="426"/>
        </w:trPr>
        <w:tc>
          <w:tcPr>
            <w:tcW w:w="5580" w:type="dxa"/>
            <w:vAlign w:val="bottom"/>
          </w:tcPr>
          <w:p>
            <w:pPr>
              <w:spacing w:after="0"/>
              <w:rPr>
                <w:sz w:val="20"/>
                <w:szCs w:val="20"/>
                <w:color w:val="auto"/>
              </w:rPr>
            </w:pPr>
            <w:r>
              <w:rPr>
                <w:rFonts w:ascii="Arial" w:cs="Arial" w:eastAsia="Arial" w:hAnsi="Arial"/>
                <w:sz w:val="18"/>
                <w:szCs w:val="18"/>
                <w:b w:val="1"/>
                <w:bCs w:val="1"/>
                <w:color w:val="auto"/>
              </w:rPr>
              <w:t>10.D. EXCHANGE CONTROLS</w:t>
            </w:r>
          </w:p>
        </w:tc>
        <w:tc>
          <w:tcPr>
            <w:tcW w:w="5660" w:type="dxa"/>
            <w:vAlign w:val="bottom"/>
          </w:tcPr>
          <w:p>
            <w:pPr>
              <w:spacing w:after="0"/>
              <w:rPr>
                <w:sz w:val="24"/>
                <w:szCs w:val="24"/>
                <w:color w:val="auto"/>
              </w:rPr>
            </w:pPr>
          </w:p>
        </w:tc>
      </w:tr>
    </w:tbl>
    <w:p>
      <w:pPr>
        <w:spacing w:after="0" w:line="202"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There are currently no Israeli currency control restrictions on remittances of dividends on our ordinary shares, proceeds from the sale of the ordinary shares or ADSs or interest or other payments to non-residents of Israel, except for shareholders who are subjects of countries that are, have been, or will be, in a state of war with Israel.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10.E. TAXATION</w:t>
      </w:r>
    </w:p>
    <w:p>
      <w:pPr>
        <w:spacing w:after="0" w:line="22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 following description is not intended to constitute a complete analysis of all tax consequences relating to the acquisition, ownership and disposition of our ADSs. You should consult your own tax advisor concerning the tax consequences of your particular situation, as well as any tax consequences that may arise under the laws of any state, local, foreign or other taxing jurisdiction.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Tax Considerations</w:t>
      </w:r>
    </w:p>
    <w:p>
      <w:pPr>
        <w:spacing w:after="0" w:line="229"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The following is a brief summary of the material Israeli tax laws applicable to us. This section also contains a discussion of material Israeli tax consequences concerning the ownership and disposition of our ADSs.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 The discussion should not be construed as legal or professional tax advice and does not cover all possible tax considerations.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General Corporate Tax Structure in Israel</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Israeli companies are generally subject to corporate tax. The current corporate tax rate is 23%. Capital gains derived by an Israeli company are generally subject to the prevailing corporate tax rate. Nevertheless, as elaborated below, the Law for the Encouragement of Capital Investments provides tax benefits for Israeli companies meeting certain requirements and criteria. In our context, the company may be eligible to the “preferred technological enterprise” and a “special preferred technological enterprise” that awards reduced tax rates of 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Benefits and Grants for Research and Development</w:t>
      </w:r>
    </w:p>
    <w:p>
      <w:pPr>
        <w:spacing w:after="0" w:line="229"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Israeli tax law allows, under certain conditions, a tax deduction for expenditures, including capital expenditures, related to scientific research and development for the year in which they are incurred. Expenditures are deemed related to scientific research and development projects, if:</w:t>
      </w:r>
    </w:p>
    <w:p>
      <w:pPr>
        <w:spacing w:after="0" w:line="146" w:lineRule="exact"/>
        <w:rPr>
          <w:sz w:val="20"/>
          <w:szCs w:val="20"/>
          <w:color w:val="auto"/>
        </w:rPr>
      </w:pPr>
    </w:p>
    <w:p>
      <w:pPr>
        <w:ind w:left="780" w:hanging="340"/>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expenditures are approved by the relevant Israeli government ministry, determined by the field of research;</w:t>
      </w:r>
    </w:p>
    <w:p>
      <w:pPr>
        <w:spacing w:after="0" w:line="225" w:lineRule="exact"/>
        <w:rPr>
          <w:rFonts w:ascii="Arial" w:cs="Arial" w:eastAsia="Arial" w:hAnsi="Arial"/>
          <w:sz w:val="18"/>
          <w:szCs w:val="18"/>
          <w:color w:val="auto"/>
        </w:rPr>
      </w:pPr>
    </w:p>
    <w:p>
      <w:pPr>
        <w:ind w:left="780" w:hanging="340"/>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research and development must be for the promotion of the company; and</w:t>
      </w:r>
    </w:p>
    <w:p>
      <w:pPr>
        <w:spacing w:after="0" w:line="225" w:lineRule="exact"/>
        <w:rPr>
          <w:rFonts w:ascii="Arial" w:cs="Arial" w:eastAsia="Arial" w:hAnsi="Arial"/>
          <w:sz w:val="18"/>
          <w:szCs w:val="18"/>
          <w:color w:val="auto"/>
        </w:rPr>
      </w:pPr>
    </w:p>
    <w:p>
      <w:pPr>
        <w:ind w:left="780" w:hanging="340"/>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research and development are carried out by or on behalf of the company seeking such tax deduction.</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amount of such deductible expenses is reduced by the sum of any funds received through government grants for the finance of such scientific research and development projects. Under these research and development deduction rules, no deduction is allowed for any expense invested in an asset depreciable under the general depreciation rules of the Israeli Income Tax Ordinance (New Version), 5721-1961. Expenditures that do not qualify for this special deduction are deductible in equal amounts over three years.</w:t>
      </w:r>
    </w:p>
    <w:p>
      <w:pPr>
        <w:spacing w:after="0" w:line="187"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From time to time, we may apply to the Israel Innovation Authority for approval to allow a tax deduction for all research and development expenses during the year incurred. There can be no assurance that such request will be granted. If we will not be able to deduct research and development expenses during the year of the payment, we will be able to deduct research and development expenses during a period of three years commencing in the year of the payment of such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Services Tax</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company constantly examines the potential applicability of the digital services tax legislation on its activities in the various jurisdictions. In addition, the company studies the OECD Pillar I and Pillar II publications and their effect on the company.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Taxation of Non-Israeli Resident Shareholders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Capital Gains Taxes</w:t>
      </w:r>
    </w:p>
    <w:p>
      <w:pPr>
        <w:spacing w:after="0" w:line="225"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Israeli capital gains tax is imposed on the disposition of capital assets by a non-Israeli resident if those assets (i) are located in Israel, (ii) are shares or a right to shares in an Israeli resident corporation or (iii) represent, directly or indirectly, rights to assets located in Israel, unless a tax treaty between Israel and the seller’s country of residence provides otherwise. The Israeli tax law distinguishes between “Real Capital Gain” and “Inflationary Surplus.” Inflationary Surplus is a portion of the total capital gain which is equivalent to the increase in the relevant asset’s price that is attributable to the increase in the Israeli Consumer Price Index or, in certain circumstances, a foreign currency exchange rate, between the date of purchase and the date of disposition. Inflationary Surplus is currently not subject to tax in Israel. Real Capital Gain is the excess of the total capital gain over the Inflationary Surplus. Generally, Real Capital Gain accrued by individuals on the sale of our ADSs will be taxed at the rate of 25%. However, if the shareholder is a “substantial shareholder” at the time of sale or at any time during the preceding 12- month period, such gain will be taxed at the rate of 30%.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Real Capital Gain derived by corporations will be generally subject to a corporate tax rate of 23% (in 2021).</w:t>
      </w:r>
    </w:p>
    <w:p>
      <w:pPr>
        <w:spacing w:after="0" w:line="168"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7"/>
          <w:szCs w:val="17"/>
          <w:color w:val="auto"/>
        </w:rPr>
        <w:t>A non-Israeli resident who derives capital gains from the sale of shares of an Israeli resident company that were purchased after the company was listed for trading on a stock exchange outside of Israel will be exempt from Israeli capital gains tax so long as the shares were not held through a permanent establishment that the non-Israeli resident maintains in Israel. However, non-Israeli corporations will not be entitled to the foregoing exemption if Israeli residents (i) have a controlling interest of more than 25% in any of the means of control of such non-Israeli corporation or (ii) are the beneficiaries of, or are entitled to, 25% or more of the revenues or profits of such non-Israeli corporation, whether directly or indirectly.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such exemption is not applicable to a person whose gains from selling or disposing the shares are deemed to be business income.</w:t>
      </w:r>
    </w:p>
    <w:p>
      <w:pPr>
        <w:spacing w:after="0" w:line="237" w:lineRule="exact"/>
        <w:rPr>
          <w:sz w:val="20"/>
          <w:szCs w:val="20"/>
          <w:color w:val="auto"/>
        </w:rPr>
      </w:pPr>
    </w:p>
    <w:p>
      <w:pPr>
        <w:jc w:val="both"/>
        <w:ind w:firstLine="441"/>
        <w:spacing w:after="0" w:line="284" w:lineRule="auto"/>
        <w:rPr>
          <w:sz w:val="20"/>
          <w:szCs w:val="20"/>
          <w:color w:val="auto"/>
        </w:rPr>
      </w:pPr>
      <w:r>
        <w:rPr>
          <w:rFonts w:ascii="Arial" w:cs="Arial" w:eastAsia="Arial" w:hAnsi="Arial"/>
          <w:sz w:val="16"/>
          <w:szCs w:val="16"/>
          <w:color w:val="auto"/>
        </w:rPr>
        <w:t>Additionally, a sale of securities by a non-Israeli resident may be exempt from Israeli capital gains tax under the provisions of an applicable tax treaty. For example, under the tax treaty between the Government of the United States of America and the Government of the State of Israel with respect to Taxes on Income, as amended (the “United States-Israel Tax Treaty”), the sale, exchange or other disposition of shares by a shareholder who is a United States resident (for purposes of the treaty) holding the shares as a capital asset and is entitled to claim the benefits afforded to such a resident by the United States-Israel Tax Treaty (a “Treaty U.S. Resident”) is generally exempt from Israeli capital gains tax unless: (i) the capital gain arising from such sale, exchange or disposition is attributed to real estate located in Israel; (ii) the capital gain arising from such sale, exchange or disposition is attributed to royalties; (iii) the capital gain arising from the such sale, exchange or disposition is attributed to a permanent establishment in Israel, under certain terms;</w:t>
      </w:r>
    </w:p>
    <w:p>
      <w:pPr>
        <w:spacing w:after="0" w:line="2" w:lineRule="exact"/>
        <w:rPr>
          <w:sz w:val="20"/>
          <w:szCs w:val="20"/>
          <w:color w:val="auto"/>
        </w:rPr>
      </w:pPr>
    </w:p>
    <w:p>
      <w:pPr>
        <w:jc w:val="both"/>
        <w:ind w:firstLine="8"/>
        <w:spacing w:after="0" w:line="270" w:lineRule="auto"/>
        <w:tabs>
          <w:tab w:leader="none" w:pos="315" w:val="left"/>
        </w:tabs>
        <w:numPr>
          <w:ilvl w:val="0"/>
          <w:numId w:val="57"/>
        </w:numPr>
        <w:rPr>
          <w:rFonts w:ascii="Arial" w:cs="Arial" w:eastAsia="Arial" w:hAnsi="Arial"/>
          <w:sz w:val="17"/>
          <w:szCs w:val="17"/>
          <w:color w:val="auto"/>
        </w:rPr>
      </w:pPr>
      <w:r>
        <w:rPr>
          <w:rFonts w:ascii="Arial" w:cs="Arial" w:eastAsia="Arial" w:hAnsi="Arial"/>
          <w:sz w:val="17"/>
          <w:szCs w:val="17"/>
          <w:color w:val="auto"/>
        </w:rPr>
        <w:t>such Treaty U.S. Resident holds, directly or indirectly, shares representing 10% or more of the voting capital during any part of the 12-month period preceding the disposition, subject to certain conditions; or (v) such Treaty U.S. Resident is an individual and was present in Israel for 183 days or more during the relevant taxable year. In any such case, the sale, exchange or disposition of such shares would be subject to Israeli tax, to the extent applicable. However, under the United States-Israel Tax Treaty, a Treaty U.S. Resident may be permitted to claim a credit for the Israeli tax against the U.S. federal income tax imposed with respect to the sale, exchange or disposition of the shares, subject to the limitations under U.S. laws applicable to foreign tax credits. The United States-Israel Tax Treaty does not provide such credit against any U.S. state or local taxes.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both"/>
        <w:ind w:firstLine="441"/>
        <w:spacing w:after="0" w:line="293" w:lineRule="auto"/>
        <w:rPr>
          <w:sz w:val="20"/>
          <w:szCs w:val="20"/>
          <w:color w:val="auto"/>
        </w:rPr>
      </w:pPr>
      <w:r>
        <w:rPr>
          <w:rFonts w:ascii="Arial" w:cs="Arial" w:eastAsia="Arial" w:hAnsi="Arial"/>
          <w:sz w:val="16"/>
          <w:szCs w:val="16"/>
          <w:color w:val="auto"/>
        </w:rPr>
        <w:t>Regardless of whether non-Israeli shareholders may be liable for Israeli capital gains tax on the sale of our ADSs, the payment of the consideration for such sale may be subject to withholding of Israeli tax at source and holders of our ADSs may be required to demonstrate that they are exempt from tax on their capital gains in order to avoid withholding at source at the time of sale. Specifically, the Israel Tax Authority may require shareholders who are not liable for Israeli capital gains tax on such a sale to sign declarations in forms specified by the Israel Tax Authority, provide documents (including, for example, a certificate of residency) or obtain a specific exemption from the Israel Tax Authority to confirm their status as non-Israeli residents (and, in the absence of such declarations or exemptions, the Israel Tax Authority may require the purchaser of the shares to withhold tax at source).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taxes applicable to Israeli resident shareholders.</w:t>
      </w:r>
    </w:p>
    <w:p>
      <w:pPr>
        <w:spacing w:after="0" w:line="229"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An Israeli resident corporation that derives capital gains from the sale of shares in an Israeli resident company that were purchased after the company was listed for trading on a stock exchange outside of Israel will generally be subject to tax on the real capital gains generated on such sale at the corporate tax rate of 23%. An Israeli resident individual will generally be subject to capital gain tax at the rate of 25%. However, if the individual shareholder claims deduction of interest expenditures or is a “substantial shareholder” at the time of the sale or at any time during the preceding 12-months period, such gain will be taxed at the rate of 30%.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Individual holders dealing in securities in Israel for whom the income from the sale of securities is considered “business income” as defined in section 2(1) of the Ordinance are taxed at the marginal tax rates applicable to business income (up to 47% in 2021). Certain Israeli institutions who are exempt from tax under section 9(2) or section 129(a)(1) of the Ordinance (such as exempt trust fund, pension fund) may be exempt from capital gains tax from the sale of the shares.</w:t>
      </w:r>
    </w:p>
    <w:p>
      <w:pPr>
        <w:spacing w:after="0" w:line="168" w:lineRule="exact"/>
        <w:rPr>
          <w:sz w:val="20"/>
          <w:szCs w:val="20"/>
          <w:color w:val="auto"/>
        </w:rPr>
      </w:pPr>
    </w:p>
    <w:p>
      <w:pPr>
        <w:jc w:val="both"/>
        <w:ind w:firstLine="441"/>
        <w:spacing w:after="0" w:line="294" w:lineRule="auto"/>
        <w:rPr>
          <w:sz w:val="20"/>
          <w:szCs w:val="20"/>
          <w:color w:val="auto"/>
        </w:rPr>
      </w:pPr>
      <w:r>
        <w:rPr>
          <w:rFonts w:ascii="Arial" w:cs="Arial" w:eastAsia="Arial" w:hAnsi="Arial"/>
          <w:sz w:val="16"/>
          <w:szCs w:val="16"/>
          <w:b w:val="1"/>
          <w:bCs w:val="1"/>
          <w:i w:val="1"/>
          <w:iCs w:val="1"/>
          <w:color w:val="auto"/>
        </w:rPr>
        <w:t>Taxation on Receipt of Dividends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Non-Israeli residents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(whether individuals or corporations) are generally subject to Israeli income tax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receipt of dividends paid on our ADSs at the rate of 25% or 20% if the dividend is distributed from income attributed to a Preferred Enterprise or a Preferred Technological Enterprise (see more details below). which tax will be withheld at source, unless relief is provided in an applicable tax treaty between Israel and the shareholder’s country of residence. However, if the shareholder who is a “substantial shareholder” at the time of receiving the dividend or at any time during the preceding 12-month period, the applicable tax rate will be 30%. Such dividends are generally subject to Israeli withholding tax at a rate of 25% so long as the shares are registered with a nominee company (whether the recipient is a substantial shareholder or not).</w:t>
      </w:r>
    </w:p>
    <w:p>
      <w:pPr>
        <w:spacing w:after="0" w:line="164"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However, a reduced tax rate may be provided under an applicable tax treaty. For example, under the United States-Israel Tax Treaty, the maximum rate of tax withheld at source in Israel on dividends paid to a holder of our ADSs who is a Treaty U.S. Resident is 25%. However, generally, the maximum rate of withholding tax on dividends that are paid to a United States corporation holding 10% or more of the outstanding voting capital throughout the tax year in which the dividend is distributed as well as during the previous tax year, is 12.5%, provided that not more than 25% of the gross income for such preceding year consists of certain types of dividends and interest.</w:t>
      </w:r>
    </w:p>
    <w:p>
      <w:pPr>
        <w:spacing w:after="0" w:line="188"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u w:val="single" w:color="auto"/>
          <w:color w:val="auto"/>
        </w:rPr>
        <w:t>An Israeli resident</w:t>
      </w:r>
      <w:r>
        <w:rPr>
          <w:rFonts w:ascii="Arial" w:cs="Arial" w:eastAsia="Arial" w:hAnsi="Arial"/>
          <w:sz w:val="17"/>
          <w:szCs w:val="17"/>
          <w:color w:val="auto"/>
        </w:rPr>
        <w:t xml:space="preserve"> individual is generally subject to Israeli income tax on the receipt of dividends at the rate of 25%. With respect to a person who is a “substantial shareholder” at the time of receiving the dividend or on any time during the preceding 12-months period, the applicable tax rate is 30%. Such dividends are generally subject to Israeli withholding tax at a rate of 25% if the shares are registered with a nominee company (whether the recipient is a substantial shareholder or not), and 20% if the dividend is distributed from income attributed to a Preferred Enterprise or a Preferred Technological Enterprise (see more details below). If the recipient of the dividend is an Israeli resident corporation such dividend income will be exempt from tax provided the income from which such dividend is distributed was derived or accrued within Israel and was received directly or indirectly from another corporation that is liable to Israeli corporate tax. An exempt trust fund, pension fund or other entity that is exempt from tax under section 9(2) or section 129C(a)(1) of the Israeli Tax Ordinance is exempt from tax on dividend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jc w:val="both"/>
        <w:ind w:firstLine="441"/>
        <w:spacing w:after="0" w:line="259" w:lineRule="auto"/>
        <w:rPr>
          <w:sz w:val="20"/>
          <w:szCs w:val="20"/>
          <w:color w:val="auto"/>
        </w:rPr>
      </w:pPr>
      <w:r>
        <w:rPr>
          <w:rFonts w:ascii="Arial" w:cs="Arial" w:eastAsia="Arial" w:hAnsi="Arial"/>
          <w:sz w:val="18"/>
          <w:szCs w:val="18"/>
          <w:b w:val="1"/>
          <w:bCs w:val="1"/>
          <w:i w:val="1"/>
          <w:iCs w:val="1"/>
          <w:color w:val="auto"/>
        </w:rPr>
        <w:t xml:space="preserve">Surtax. </w:t>
      </w:r>
      <w:r>
        <w:rPr>
          <w:rFonts w:ascii="Arial" w:cs="Arial" w:eastAsia="Arial" w:hAnsi="Arial"/>
          <w:sz w:val="18"/>
          <w:szCs w:val="18"/>
          <w:color w:val="auto"/>
        </w:rPr>
        <w:t>Subject to the provisions of an applicable tax treaty, individuals who are subject to income tax in Israel (whether any such individual is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Israeli resident or non-Israeli resident) are also subject to an additional tax at a rate of 3% on annual income (including, but not limited to, income derived from dividends, interest and capital gains) exceeding NIS 647,640 for 2021, which amount is linked to the annual change in the Israeli consumer price index.</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 xml:space="preserve">Estate and Gift Tax. </w:t>
      </w:r>
      <w:r>
        <w:rPr>
          <w:rFonts w:ascii="Arial" w:cs="Arial" w:eastAsia="Arial" w:hAnsi="Arial"/>
          <w:sz w:val="18"/>
          <w:szCs w:val="18"/>
          <w:color w:val="auto"/>
        </w:rPr>
        <w:t>Israeli law presently does not impose estate taxes. Gift tax may be applicable in certain cases.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 for the Encouragement of Industry (Taxes), 1969</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The Law for the Encouragement of Industry (Taxes), 1969, generally referred to as the Industry Encouragement Law, provides several tax benefits for “Industry Companies.” We currently qualify as an Industrial Company within the meaning of the Industry Encouragement Law. The Industry Encouragement Law defines an “Industrial Company” as a company resident in Israel, of which 90% or more of its income in any tax year, other than income from defense loans, is derived from an “Industrial Enterprise” owned by it and located in Israel. An “Industrial Enterprise” is defined as an enterprise whose principal activity in a given tax year is industrial production. The following corporate tax benefits, among others, are available to Industrial Companies:</w:t>
      </w:r>
    </w:p>
    <w:p>
      <w:pPr>
        <w:spacing w:after="0" w:line="192" w:lineRule="exact"/>
        <w:rPr>
          <w:sz w:val="20"/>
          <w:szCs w:val="20"/>
          <w:color w:val="auto"/>
        </w:rPr>
      </w:pPr>
    </w:p>
    <w:p>
      <w:pPr>
        <w:ind w:left="780" w:hanging="340"/>
        <w:spacing w:after="0" w:line="277" w:lineRule="auto"/>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Amortization over an eight-year period of the cost of purchased know-how and patents and rights to use a patent and know-how which are used for the development or advancement of the company;</w:t>
      </w:r>
    </w:p>
    <w:p>
      <w:pPr>
        <w:spacing w:after="0" w:line="170" w:lineRule="exact"/>
        <w:rPr>
          <w:rFonts w:ascii="Arial" w:cs="Arial" w:eastAsia="Arial" w:hAnsi="Arial"/>
          <w:sz w:val="18"/>
          <w:szCs w:val="18"/>
          <w:color w:val="auto"/>
        </w:rPr>
      </w:pPr>
    </w:p>
    <w:p>
      <w:pPr>
        <w:ind w:left="780" w:hanging="340"/>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Under limited conditions, an election to file consolidated tax returns with related Israeli Industrial Companies; and</w:t>
      </w:r>
    </w:p>
    <w:p>
      <w:pPr>
        <w:spacing w:after="0" w:line="225" w:lineRule="exact"/>
        <w:rPr>
          <w:rFonts w:ascii="Arial" w:cs="Arial" w:eastAsia="Arial" w:hAnsi="Arial"/>
          <w:sz w:val="18"/>
          <w:szCs w:val="18"/>
          <w:color w:val="auto"/>
        </w:rPr>
      </w:pPr>
    </w:p>
    <w:p>
      <w:pPr>
        <w:ind w:left="780" w:hanging="340"/>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Expenses related to a public offering are deductible in equal amounts over a three-year period.</w:t>
      </w:r>
    </w:p>
    <w:p>
      <w:pPr>
        <w:spacing w:after="0" w:line="225"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Eligibility for benefits under the Industry Encouragement Law is not contingent upon the approval of any governmental authority. The Israeli tax authorities may determine that we do not qualify as an Industrial Company, which could entail our loss of the benefits that relate to this status. There can be no assurance that we will continue to qualify as an Industrial Company or that the benefits described above will be available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 for the Encouragement of Capital Investments, 1959</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Law for the Encouragement of Capital Investments (the “Investments Law”) provides tax benefits for Israeli companies meeting certain requirements and criteria. The Investment Law has undergone certain amendments and reforms in recent years.</w:t>
      </w:r>
    </w:p>
    <w:p>
      <w:pPr>
        <w:spacing w:after="0" w:line="170"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The Israeli parliament enacted a reform to the Investment Law, effective as of January 2011. According to the reform, a flat rate tax applies to companies eligible for the “Preferred Enterprise” status. In order to be eligible for Preferred Enterprise status, a company must meet minimum requirements to establish that it contributes to the country’s economic growth and is a competitive factor for the gross domestic product.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jc w:val="both"/>
        <w:ind w:firstLine="441"/>
        <w:spacing w:after="0" w:line="263" w:lineRule="auto"/>
        <w:rPr>
          <w:sz w:val="20"/>
          <w:szCs w:val="20"/>
          <w:color w:val="auto"/>
        </w:rPr>
      </w:pPr>
      <w:r>
        <w:rPr>
          <w:rFonts w:ascii="Arial" w:cs="Arial" w:eastAsia="Arial" w:hAnsi="Arial"/>
          <w:sz w:val="18"/>
          <w:szCs w:val="18"/>
          <w:color w:val="auto"/>
        </w:rPr>
        <w:t>On December 22, 2016 an Amendment to the Investments Law has been enacted and added new tax benefit tracks for a “preferred technological enterprise” and a “special preferred technological enterprise” that awards reduced tax rates to a technological industrial enterprise for the purpose of encouraging activity relating to the development of qualifying intangible assets.</w:t>
      </w:r>
    </w:p>
    <w:p>
      <w:pPr>
        <w:spacing w:after="0" w:line="184" w:lineRule="exact"/>
        <w:rPr>
          <w:sz w:val="20"/>
          <w:szCs w:val="20"/>
          <w:color w:val="auto"/>
        </w:rPr>
      </w:pPr>
    </w:p>
    <w:p>
      <w:pPr>
        <w:jc w:val="both"/>
        <w:ind w:right="20" w:firstLine="441"/>
        <w:spacing w:after="0" w:line="308" w:lineRule="auto"/>
        <w:rPr>
          <w:sz w:val="20"/>
          <w:szCs w:val="20"/>
          <w:color w:val="auto"/>
        </w:rPr>
      </w:pPr>
      <w:r>
        <w:rPr>
          <w:rFonts w:ascii="Arial" w:cs="Arial" w:eastAsia="Arial" w:hAnsi="Arial"/>
          <w:sz w:val="17"/>
          <w:szCs w:val="17"/>
          <w:color w:val="auto"/>
        </w:rPr>
        <w:t>Preferred technological income that meets the conditions required by law, will be subject to a reduced corporate tax rate of 12%, and if the preferred technological enterprise is located in Development Area A to a tax rate of 7.5%. The Amendment is effective as of January 1, 2017.</w:t>
      </w:r>
    </w:p>
    <w:p>
      <w:pPr>
        <w:spacing w:after="0" w:line="146"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Amendment also provides that no tax will apply to a dividend distributed out of preferred income of preferred technological enterprise to a shareholder that is an Israeli resident company. In addition, a tax rate of 20% shall apply to a dividend distributed out of preferred income preferred technological enterprise to an individual shareholder or foreign resident, in addition 4% dividend withholding tax would apply in case at least 90% of the company’s shares are held directly by, one or more, foreign entities.</w:t>
      </w:r>
    </w:p>
    <w:p>
      <w:pPr>
        <w:spacing w:after="0" w:line="187" w:lineRule="exact"/>
        <w:rPr>
          <w:sz w:val="20"/>
          <w:szCs w:val="20"/>
          <w:color w:val="auto"/>
        </w:rPr>
      </w:pPr>
    </w:p>
    <w:p>
      <w:pPr>
        <w:jc w:val="both"/>
        <w:ind w:right="20" w:firstLine="441"/>
        <w:spacing w:after="0" w:line="263" w:lineRule="auto"/>
        <w:rPr>
          <w:sz w:val="20"/>
          <w:szCs w:val="20"/>
          <w:color w:val="auto"/>
        </w:rPr>
      </w:pPr>
      <w:r>
        <w:rPr>
          <w:rFonts w:ascii="Arial" w:cs="Arial" w:eastAsia="Arial" w:hAnsi="Arial"/>
          <w:sz w:val="18"/>
          <w:szCs w:val="18"/>
          <w:color w:val="auto"/>
        </w:rPr>
        <w:t>Currently, and effective until December 31, 2021, the company has a tax ruling which was obtained from the Israeli Tax Authorities and determines that the company owns an industrial enterprise and Preferred Technological Enterprise as defined in the Investments Law. The company is expected to apply to the Israeli Tax Authorities for an extension of the approval.</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29"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The following summary describes certain United States federal income tax considerations generally applicable to United States Holders (as defined below) of our ADSs. This summary deals only with our ADSs held as capital assets within the meaning of Section 1221 of the Internal Revenue Code of 1986, as amended, (the “Internal Revenue Code”). This summary also does not address the tax consequences that may be relevant to holders in special tax situations including, without limitation, dealers in securities, traders that elect to use a mark-to-market method of accounting, holders that own our ADSs as part of a “straddle,” “hedge,” “conversion transaction,” or other integrated investment, banks or other financial institutions, individual retirement accounts and other tax-deferred accounts, insurance companies, tax-exempt organizations, United States expatriates, holders whose functional currency is not the U.S. dollar, holders that acquired our ADSs in a compensatory transaction, holders that are real estate investment trusts or regulated investment companies, grantor trusts, holders subject to special tax accounting rules as a result of any item of gross income with respect to our ADSs being taken into account in an applicable financial statement, holders which are entities or arrangements treated as partnerships, S-corporations or other pass-through entities for United States federal income tax purposes, holders who acquired ADSs pursuant to the exercise of any employee share option or otherwise as compensation or holders that actually or constructively through attribution own 10% or more of the total voting power or value of our outstanding ADSs.</w:t>
      </w:r>
    </w:p>
    <w:p>
      <w:pPr>
        <w:spacing w:after="0" w:line="172"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7"/>
          <w:szCs w:val="17"/>
          <w:color w:val="auto"/>
        </w:rPr>
        <w:t>This summary is based upon the Internal Revenue Code, applicable United States Treasury regulations, administrative pronouncements and judicial decisions, in each case as in effect on the date hereof, all of which are subject to change (possibly with retroactive effect). No ruling will be requested from the Internal Revenue Service, or IRS, regarding the tax consequences described herein, and there can be no assurance that the IRS will agree with the discussion set out below. This summary does not address any United States federal tax consequences other than United States federal income tax consequences (such as the alternative minimum tax, estate and gift tax or the Medicare tax on net investment income).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jc w:val="both"/>
        <w:ind w:firstLine="441"/>
        <w:spacing w:after="0" w:line="255" w:lineRule="auto"/>
        <w:rPr>
          <w:sz w:val="20"/>
          <w:szCs w:val="20"/>
          <w:color w:val="auto"/>
        </w:rPr>
      </w:pPr>
      <w:r>
        <w:rPr>
          <w:rFonts w:ascii="Arial" w:cs="Arial" w:eastAsia="Arial" w:hAnsi="Arial"/>
          <w:sz w:val="18"/>
          <w:szCs w:val="18"/>
          <w:color w:val="auto"/>
        </w:rPr>
        <w:t>As used herein, the term “United States Holder” means a beneficial owner of our ADSs that is, for United States federal income tax purposes, (i) an individual who is a citizen or resident of the United States, (ii) a corporation or other entity taxable as a corporation created or organized under the laws of the United States or any state thereof or therein or the District of Columbia, (iii) an estate the income of which is subject to United States federal income taxation regardless of its source, or (iv) a trust (a) that is subject to the supervision of a court within the United States and the control of one or more “United States persons” as defined in Internal Revenue Code Section 7701(a)(30), or (b) that has a valid election in effect under applicable United States Treasury regulations to be treated as a “United States person.”</w:t>
      </w:r>
    </w:p>
    <w:p>
      <w:pPr>
        <w:spacing w:after="0" w:line="192"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If an entity or arrangement treated as a partnership for United States federal income tax purposes acquires our ADSs, the tax treatment of a partner in the partnership generally will depend upon the status of the partner and the activities of the partnership. Partners of a partnership considering an investment in our ADSs should consult their tax advisors regarding the United States federal income tax consequences of acquiring, owning, and disposing of our ADSs.</w:t>
      </w:r>
    </w:p>
    <w:p>
      <w:pPr>
        <w:spacing w:after="0" w:line="187"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 will be complied with in accordance with their terms. Generally, a holder of an ADS should be treated for U.S. federal income tax purposes as holding the ordinary shares represented by the ADS. Accordingly, no gain or loss will generally be recognized upon an exchange of ADSs for ordinary shares.</w:t>
      </w:r>
    </w:p>
    <w:p>
      <w:pPr>
        <w:spacing w:after="0" w:line="183"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b w:val="1"/>
          <w:bCs w:val="1"/>
          <w:color w:val="auto"/>
        </w:rPr>
        <w:t>THE SUMMARY OF UNITED STATES FEDERAL INCOME TAX CONSEQUENCES SET OUT BELOW IS FOR GENERAL INFORMATION ONLY. ALL CURRENT OR PROSPECTIVE INVESTORS SHOULD CONSULT THEIR TAX ADVISORS AS TO THE PARTICULAR TAX CONSEQUENCES TO THEM OF OWNING AND DISPOSING OF OUR ADSS, INCLUDING THE APPLICABILITY AND EFFECT OF STATE, LOCAL AND NON-U.S. TAX LAWS AND POSSIBLE CHANGES IN TAX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441"/>
        <w:spacing w:after="0" w:line="288" w:lineRule="auto"/>
        <w:rPr>
          <w:sz w:val="20"/>
          <w:szCs w:val="20"/>
          <w:color w:val="auto"/>
        </w:rPr>
      </w:pPr>
      <w:r>
        <w:rPr>
          <w:rFonts w:ascii="Arial" w:cs="Arial" w:eastAsia="Arial" w:hAnsi="Arial"/>
          <w:sz w:val="16"/>
          <w:szCs w:val="16"/>
          <w:color w:val="auto"/>
        </w:rPr>
        <w:t>Subject to the discussion below under “—</w:t>
      </w:r>
      <w:r>
        <w:rPr>
          <w:rFonts w:ascii="Arial" w:cs="Arial" w:eastAsia="Arial" w:hAnsi="Arial"/>
          <w:sz w:val="16"/>
          <w:szCs w:val="16"/>
          <w:i w:val="1"/>
          <w:iCs w:val="1"/>
          <w:color w:val="auto"/>
        </w:rPr>
        <w:t>Passive Foreign Investment Company</w:t>
      </w:r>
      <w:r>
        <w:rPr>
          <w:rFonts w:ascii="Arial" w:cs="Arial" w:eastAsia="Arial" w:hAnsi="Arial"/>
          <w:sz w:val="16"/>
          <w:szCs w:val="16"/>
          <w:color w:val="auto"/>
        </w:rPr>
        <w:t>,” the amount of dividends paid to a United States Holder with respect to our ADSs before reduction for any Israeli taxes withheld therefrom generally will be included in the United States Holder’s gross income as dividend income from foreign sources to the extent paid out of our current or accumulated earnings and profits (as determined for United States federal income tax purposes). Distributions in excess of earnings and profits will be treated as a non-taxable return of capital to the extent of the United States Holder’s adjusted tax basis in those ADSs and thereafter as capital gain. However, we do not intend to calculate our earnings and profits under United States federal income tax principles. Therefore, United States Holders should expect that a distribution will generally be treated as a dividend even if that distribution would otherwise be treated as a non-taxable return of capital or as capital gain under the rules described above. The dividends will not be eligible for the dividends received deduction available to corporations in respect of dividends received from other United States corporations. The amount of any distribution paid in foreign currency will be equal to the U.S. dollar value of such currency, translated at the spot rate of exchange on the date such distribution is included in the United States Holder’s income, regardless of whether the payment is in fact converted into U.S. dollars at that time.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jc w:val="both"/>
        <w:ind w:firstLine="441"/>
        <w:spacing w:after="0" w:line="253" w:lineRule="auto"/>
        <w:rPr>
          <w:sz w:val="20"/>
          <w:szCs w:val="20"/>
          <w:color w:val="auto"/>
        </w:rPr>
      </w:pPr>
      <w:r>
        <w:rPr>
          <w:rFonts w:ascii="Arial" w:cs="Arial" w:eastAsia="Arial" w:hAnsi="Arial"/>
          <w:sz w:val="18"/>
          <w:szCs w:val="18"/>
          <w:color w:val="auto"/>
        </w:rPr>
        <w:t>Dividends paid on our ADSs generally will constitute “foreign source income” for purposes of the foreign tax credit. Foreign withholding tax (if any) paid on dividends on our ADSs at the rate applicable to a United States Holder (taking into account any applicable income tax treaty) may, subject to limitations and conditions, be treated as foreign income tax eligible for credit against such holder’s United States federal income tax liability or, at such holder’s election, eligible for deduction in computing such holder’s United States federal taxable income. If a refund of the tax withheld is available under the laws of the state of Israel or under the applicable income tax treaty, the amount of tax withheld that is refundable will not be eligible for such credit against a United States Holder’s U.S. federal income tax liability (and will not be eligible for the deduction against U.S. federal taxable income). If the dividends are taxed as “qualified dividend income,” as discussed below, the amount of the dividend taken into account for purposes of calculating the foreign tax credit limitation will generally be limited to the gross amount of the dividend, multiplied by the reduced rate applicable to the qualified dividend income, divided by the highest rate of tax normally applicable to dividends. The limitation on foreign taxes eligible for credit is calculated separately with respect to specific classes of income. For this purpose, any dividends distributed by us with respect to ADSs will generally constitute “passive category income.”</w:t>
      </w:r>
    </w:p>
    <w:p>
      <w:pPr>
        <w:spacing w:after="0" w:line="192"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rules governing the treatment of foreign taxes imposed on a United States Holder and foreign tax credits are complex, and United States Holders should consult their tax advisors about the impact of these rules in their particular situations.</w:t>
      </w:r>
    </w:p>
    <w:p>
      <w:pPr>
        <w:spacing w:after="0" w:line="170"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Dividends received by certain non-corporate United States Holders (including individuals) may be “qualified dividend income,” which is taxed at the lower capital gain rate, provided that (i) either our ADSs are readily tradable on an established securities market in the United States or we are eligible for benefits under a comprehensive United States income tax treaty that includes an exchange of information program and which the United States Treasury Department has determined is satisfactory for these purposes, (ii) we are neither a PFIC (as discussed below) nor treated as such with respect to the United States Holder for either our taxable year in which the dividend is paid or our preceding taxable year, (iii) the United States Holder satisfies certain holding period and other requirements and (iv) the United States Holder is not under an obligation to make related payments with respect to positions in substantially similar or related property. In this regard, shares generally are considered to be readily tradable on an established securities market in the United States if they are listed on the Nasdaq, as our ADSs. United States Holders should consult their tax advisors regarding the availability of the reduced tax rate on dividends paid with respect to our ADSs.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ADSs</w:t>
      </w:r>
    </w:p>
    <w:p>
      <w:pPr>
        <w:spacing w:after="0" w:line="229"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6"/>
          <w:szCs w:val="16"/>
          <w:color w:val="auto"/>
        </w:rPr>
        <w:t>Subject to the discussion below under “—</w:t>
      </w:r>
      <w:r>
        <w:rPr>
          <w:rFonts w:ascii="Arial" w:cs="Arial" w:eastAsia="Arial" w:hAnsi="Arial"/>
          <w:sz w:val="16"/>
          <w:szCs w:val="16"/>
          <w:i w:val="1"/>
          <w:iCs w:val="1"/>
          <w:color w:val="auto"/>
        </w:rPr>
        <w:t>Passive Foreign Investment Company</w:t>
      </w:r>
      <w:r>
        <w:rPr>
          <w:rFonts w:ascii="Arial" w:cs="Arial" w:eastAsia="Arial" w:hAnsi="Arial"/>
          <w:sz w:val="16"/>
          <w:szCs w:val="16"/>
          <w:color w:val="auto"/>
        </w:rPr>
        <w:t>,” a United States Holder generally will recognize capital gain or loss for United States federal income tax purposes on the sale or other taxable disposition of our ADSs equal to the difference, if any, between the amount realized and the United States Holder’s adjusted tax basis in those ADSs. A United States Holder’s initial tax basis in shares generally will equal the cost of such shares. If any foreign tax is imposed on the sale, exchange or other disposition of our ADSs, a United States Holder’s amount realized will include the gross amount of the proceeds of the deposits before deduction of the tax. In general, capital gains recognized by a non-corporate United States Holder, including an individual, are treated as long term capital gain and thus subject to a lower rate under current law if such United States Holder’s holding period in our ADSs exceeds one year. The deductibility of capital losses is subject to limitations. Any such gain or loss generally will be treated as United States source income or loss for purposes of the foreign tax credit. Because gain for the sale or other taxable disposition of our ADSs will be treated as United States source income, and you may use foreign tax credits against only the portion of United States federal income tax liability that is attributed to foreign source income in the same category, your ability to utilize a foreign tax credit with respect to any foreign tax imposed on any such sale or other taxable disposition, if any, may be significantly limited. In addition, if you are eligible for the benefit of the income tax convention between the United States and the State of Israel and pay Israeli tax in excess of the amount applicable to you under such convention or if the Israeli tax paid is refundable, you will not be able to claim any foreign tax credit or deduction with respect to such Israeli tax. You should consult your tax advisor as to whether the Israeli tax on gains may be creditable or deductible in light of your particular circumstances and your ability to apply the provisions of an applicable treaty.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4" w:name="page105"/>
    <w:bookmarkEnd w:id="104"/>
    <w:p>
      <w:pPr>
        <w:jc w:val="both"/>
        <w:ind w:firstLine="441"/>
        <w:spacing w:after="0" w:line="291" w:lineRule="auto"/>
        <w:rPr>
          <w:sz w:val="20"/>
          <w:szCs w:val="20"/>
          <w:color w:val="auto"/>
        </w:rPr>
      </w:pPr>
      <w:r>
        <w:rPr>
          <w:rFonts w:ascii="Arial" w:cs="Arial" w:eastAsia="Arial" w:hAnsi="Arial"/>
          <w:sz w:val="16"/>
          <w:szCs w:val="16"/>
          <w:color w:val="auto"/>
        </w:rPr>
        <w:t>If the consideration received upon the sale or other taxable disposition of our ADSs is paid in foreign currency, the amount realized will be the U.S. dollar value of the payment received, translated at the spot rate of exchange on the date of taxable disposition. If our ADSs are treated as traded on an established securities market, a cash basis United States Holder and an accrual basis United States Holder who has made a special election (which must be applied consistently from year to year and cannot be changed without the consent of the IRS) will determine the U.S. dollar value of the amount realized in foreign currency by translating the amount received at the spot rate of exchange on the settlement date of the taxable disposition. An accrual basis United States Holder that does not make the special election will recognize exchange gain or loss to the extent attributable to the difference between the exchange rates on the date of the taxable disposition and the settlement date, and such exchange gain or loss generally will constitute ordinary income or loss.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w:t>
      </w:r>
    </w:p>
    <w:p>
      <w:pPr>
        <w:spacing w:after="0" w:line="229"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We would be a PFIC for any taxable year if, after the application of certain look-through rules, either: (i) 75% or more of our gross income for such year is “passive income” (as defined in the relevant provisions of the Internal Revenue Code), or (ii) 50% or more of the value of our assets (determined on the basis of a quarterly average) during such year is attributable to assets that produce or are held for the production of passive income. Passive income generally includes, among other things, rents, dividends, interest, royalties, gains from the disposition of passive assets and gains from commodities and securities transactions. For purposes of this test, we will be treated as owning a proportionate share of the assets and earning a proportionate share of the income of any other corporation of which we own, directly or indirectly, 25% or more (by value) of the stock.</w:t>
      </w:r>
    </w:p>
    <w:p>
      <w:pPr>
        <w:spacing w:after="0" w:line="178"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Based on the current and anticipated composition of our income, assets and operations we do not expect to be treated as a PFIC for the current taxable year or in the foreseeable future. However, whether we are a PFIC is a factual determination that must be made annually after the close of each taxable year. This determination will depend on, among other things, the composition of the Company’s income and assets, as well as the market value of our ADSs and assets, which may fluctuate significantly. In addition, it is possible that the IRS may take a contrary position with respect to our determination in any particular year. Therefore, there can be no assurance that we will not be classified as a PFIC for the current taxable year or any future taxable year.</w:t>
      </w:r>
    </w:p>
    <w:p>
      <w:pPr>
        <w:spacing w:after="0" w:line="192"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Certain adverse United States federal income tax consequences could apply to a United States Holder if we are treated as a PFIC for any taxable year during which such United States Holder holds our ADSs. Under the PFIC rules, if we were considered a PFIC at any time that a United States Holder holds our ADSs, we would continue to be treated as a PFIC with respect to such holder’s investment unless (i) we cease to be a PFIC, and (ii) the United States Holder has made a “deemed sale” election under the PFIC rules. If such election is made, a United States Holder will be deemed to have sold our ADSs at their fair market value on the last day of our last taxable year in which we were a PFIC, and any gain from the deemed sale would be subject to the rules described in the second following paragraph. After the deemed sale election, so long as we do not become a PFIC in a subsequent taxable year, the ADSs with respect to which such election was made will not be treated as shares in a PFIC.</w:t>
      </w:r>
    </w:p>
    <w:p>
      <w:pPr>
        <w:spacing w:after="0" w:line="177"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United States Holders should consult their tax advisors as to the possibility and consequences of making a deemed sale election if we are (or were to become) and then cease to be a PFIC, and such election becomes available.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5" w:name="page106"/>
    <w:bookmarkEnd w:id="105"/>
    <w:p>
      <w:pPr>
        <w:jc w:val="both"/>
        <w:ind w:firstLine="441"/>
        <w:spacing w:after="0" w:line="269" w:lineRule="auto"/>
        <w:rPr>
          <w:sz w:val="20"/>
          <w:szCs w:val="20"/>
          <w:color w:val="auto"/>
        </w:rPr>
      </w:pPr>
      <w:r>
        <w:rPr>
          <w:rFonts w:ascii="Arial" w:cs="Arial" w:eastAsia="Arial" w:hAnsi="Arial"/>
          <w:sz w:val="17"/>
          <w:szCs w:val="17"/>
          <w:color w:val="auto"/>
        </w:rPr>
        <w:t>If we are a PFIC for any taxable year that a United States Holder holds our ADSs, unless the United States Holder makes one of the elections described below, any gain recognized by the United States Holder on a sale or other disposition of our ADSs would be allocated pro-rata over the United States Holder’s holding period for the ADSs. The amounts allocated to the taxable year of the sale or other disposition and to any year before we became a PFIC would be taxed as ordinary income. The amount allocated to each other taxable year would be subject to tax at the highest rate in effect for individuals or the highest rate in effect for corporations, as appropriate, for that taxable year, and an interest charge would be imposed. Further, to the extent that any distribution received by a United States Holder on our ADSs exceeds 125% of the average of the annual distributions on the ADSs received during the preceding three years or the United States Holder’s holding period, whichever is shorter, that distribution would be subject to taxation in the same manner as gain on the sale or other disposition of our ADSs if we were a PFIC, described above. If we are treated as a PFIC with respect to a United States Holder for any taxable year, the United States Holder will be deemed to own shares in any of the foreign entities in which we may hold equity interests that also are PFICs, or lower-tier PFICs.</w:t>
      </w:r>
    </w:p>
    <w:p>
      <w:pPr>
        <w:spacing w:after="0" w:line="185"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Certain elections may be available that would result in alternative treatments (such as mark-to-market treatment or treatment as a qualified electing fund (“QEF”)) of our ADSs if we are considered a PFIC. However, we do not expect to furnish United States Holders of our ADSs with the tax information necessary to enable a United States Holder to make a QEF election. In addition, an election for mark-to-market treatment is unlikely to be available to mitigate any adverse tax consequences with respect to a subsidiary that is also a PFIC. If we are considered a PFIC, a United States Holder will also be subject to annual information reporting requirements. United States Holders should consult their tax advisors about the potential application of the PFIC rules to an investment in our ADSs and the potential consequences related thereto.</w:t>
      </w:r>
    </w:p>
    <w:p>
      <w:pPr>
        <w:spacing w:after="0" w:line="174"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color w:val="auto"/>
        </w:rPr>
        <w:t>United States Holders should consult their tax advisors regarding whether we are a PFIC as well as the potential U.S. federal income tax consequences of holding and disposing of our ADSs if we are or become classified as a PFIC, including the possibility of making a mark-to-market election in their particular circumstances.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Distributions on our ADSs and proceeds from the sale or other taxable disposition of our ADSs may be subject to information reporting to the IRS and possible backup withholding. Backup withholding will not apply, however, to a United States Holder who furnishes a correct taxpayer identification number and certifies that it is not subject to backup withholding or that is otherwise exempt from backup withholding. United States Holders that are required to establish their exempt status generally must provide such certification on IRS Form W-9.</w:t>
      </w:r>
    </w:p>
    <w:p>
      <w:pPr>
        <w:spacing w:after="0" w:line="187"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Backup withholding is not an additional tax. Rather, any amount withheld under the backup withholding rules will be refundable or creditable against the United States Holder’s United States federal income tax liability, provided the required information is timely furnished to the IRS. United States Holders should consult their tax advisors regarding the application of the United States information reporting and backup withholding rules.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Financial Asset Reporting</w:t>
      </w:r>
    </w:p>
    <w:p>
      <w:pPr>
        <w:spacing w:after="0" w:line="229"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Certain United States Holders are required to report their holdings of certain foreign financial assets, including our ADSs, if the aggregate value of all of these assets exceeds certain threshold amounts, subject to certain exceptions (including an exception for ADSs held in accounts maintained by certain financial institutions). Penalties can apply if United States Holders fail to satisfy such reporting requirements. United States Holders should consult their tax advisors regarding the application of these reporting requirements on the ownership and disposition of our ADSs.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10.F. DIVIDENDS AND PAYING AGENTS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10.G. STATEMENT BY EXPERTS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10.H. DOCUMENTS ON DISPLAY</w:t>
      </w:r>
    </w:p>
    <w:p>
      <w:pPr>
        <w:spacing w:after="0" w:line="22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Any statement in this Annual Report about any of our contracts or other documents is not necessarily complete. If the contract or document is filed as an exhibit to this Annual Report, the contract or document is deemed to modify the description contained in this Annual Report. You must review the exhibits themselves for a complete description of the contract or document.</w:t>
      </w:r>
    </w:p>
    <w:p>
      <w:pPr>
        <w:spacing w:after="0" w:line="184"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6"/>
          <w:szCs w:val="16"/>
          <w:color w:val="auto"/>
        </w:rPr>
        <w:t xml:space="preserve">We are subject to the informational requirements of the Exchange Act. Accordingly, we are required to file reports and other information with the SEC, including annual reports on Form 20-F and periodic reports on Form 6-K. The SEC maintains an Internet website that contains reports and other information about issuers, like us, that file electronically with the SEC. The address of that website is </w:t>
      </w:r>
      <w:r>
        <w:rPr>
          <w:rFonts w:ascii="Arial" w:cs="Arial" w:eastAsia="Arial" w:hAnsi="Arial"/>
          <w:sz w:val="16"/>
          <w:szCs w:val="16"/>
          <w:i w:val="1"/>
          <w:iCs w:val="1"/>
          <w:color w:val="auto"/>
        </w:rPr>
        <w:t>www.sec.gov</w:t>
      </w:r>
      <w:r>
        <w:rPr>
          <w:rFonts w:ascii="Arial" w:cs="Arial" w:eastAsia="Arial" w:hAnsi="Arial"/>
          <w:sz w:val="16"/>
          <w:szCs w:val="16"/>
          <w:color w:val="auto"/>
        </w:rPr>
        <w:t>. In addition, copies of all information and documents pertaining to press releases, media conferences, investor updates and presentations at analyst and investor presentation conferences can be downloaded from our website www.tremorinternational.com. The information contained on our website is not a part of this Form 20-F.</w:t>
      </w:r>
    </w:p>
    <w:p>
      <w:pPr>
        <w:spacing w:after="0" w:line="161"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As an FPI,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However, we furnish or make available to our shareholders certain reports including Annual Reports on Form 20-F, periodic reports on Form 6-K and other information, with the SEC pursuant to the rules and regulations of the SEC that apply to foreign private issuers.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10.I. SUBSIDIARY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 and interest rates, which are discussed in detail below. See Note 18f and 18g of our audited consolidated financial statements for further information about market risk sensitivity.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We believe that we have no significant exposure to interest rate risk as we have no significant long-term loans. However, our future interest income may fall short of expectations due to changes in market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Foreign currency transactions</w:t>
      </w:r>
    </w:p>
    <w:p>
      <w:pPr>
        <w:spacing w:after="0" w:line="22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Transactions in foreign currencies are translated to the respective functional currencies of us and our subsidiaries at exchange rates at the dates of the transactions. Monetary assets and liabilities denominated in foreign currencies at the reporting date are translated into the functional currency at the exchange rate on that date. The foreign currency gain or loss on monetary items is the difference between amortized cost in the functional currency at the beginning of the year, adjusted for effective interest and payments during the year, and the amortized cost in foreign currency translated at the exchange rate as of the end of the year.</w:t>
      </w:r>
    </w:p>
    <w:p>
      <w:pPr>
        <w:spacing w:after="0" w:line="188"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Non-monetary assets and liabilities denominated in foreign currencies that are measured at fair value are retranslated to the functional currency at the exchange rate on the date that the fair value was determined. Non-monetary items that are measured in terms of historical cost in a foreign currency are translated using the exchange rate on the date of the transaction.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Foreign operations</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 assets and liabilities of foreign operations, including goodwill and fair value adjustments arising on acquisition, are translated to U.S. dollars at exchange rates at the reporting date. The income and expenses of foreign operations are translated to U.S. dollars at exchange rates at the dates of the transactions.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Foreign currency differences are recognized in other comprehensive income and are presented in equity.</w:t>
      </w:r>
    </w:p>
    <w:p>
      <w:pPr>
        <w:spacing w:after="0" w:line="221" w:lineRule="exact"/>
        <w:rPr>
          <w:sz w:val="20"/>
          <w:szCs w:val="20"/>
          <w:color w:val="auto"/>
        </w:rPr>
      </w:pPr>
    </w:p>
    <w:p>
      <w:pPr>
        <w:ind w:right="4600"/>
        <w:spacing w:after="0" w:line="503" w:lineRule="auto"/>
        <w:rPr>
          <w:sz w:val="20"/>
          <w:szCs w:val="20"/>
          <w:color w:val="auto"/>
        </w:rPr>
      </w:pPr>
      <w:r>
        <w:rPr>
          <w:rFonts w:ascii="Arial" w:cs="Arial" w:eastAsia="Arial" w:hAnsi="Arial"/>
          <w:sz w:val="18"/>
          <w:szCs w:val="18"/>
          <w:b w:val="1"/>
          <w:bCs w:val="1"/>
          <w:color w:val="auto"/>
        </w:rPr>
        <w:t>ITEM 12. DESCRIPTION OF SECURITIES OTHER THAN EQUITY SECURITIES 12.A. DEBT SECURITIES</w:t>
      </w: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12.B. WARRANTS AND RIGHTS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12.C. OTHER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12.D. AMERICAN DEPOSITARY SHARES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Citibank, N.A. (“Citibank”), is our depositary bank for the American Depositary Shares representing our ordinary shares.</w:t>
      </w:r>
    </w:p>
    <w:p>
      <w:pPr>
        <w:spacing w:after="0" w:line="225" w:lineRule="exact"/>
        <w:rPr>
          <w:sz w:val="20"/>
          <w:szCs w:val="20"/>
          <w:color w:val="auto"/>
        </w:rPr>
      </w:pPr>
    </w:p>
    <w:p>
      <w:pPr>
        <w:ind w:right="300" w:firstLine="441"/>
        <w:spacing w:after="0" w:line="263" w:lineRule="auto"/>
        <w:rPr>
          <w:sz w:val="20"/>
          <w:szCs w:val="20"/>
          <w:color w:val="auto"/>
        </w:rPr>
      </w:pPr>
      <w:r>
        <w:rPr>
          <w:rFonts w:ascii="Arial" w:cs="Arial" w:eastAsia="Arial" w:hAnsi="Arial"/>
          <w:sz w:val="18"/>
          <w:szCs w:val="18"/>
          <w:color w:val="auto"/>
        </w:rPr>
        <w:t>Citibank was appointed as depositary bank pursuant to a deposit agreement. The form of the deposit agreement will be filed with the SEC under cover of a Registration Statement on Form F-6. You may obtain a copy of the deposit agreement from the SEC’s website (www.sec.gov). Please refer to Registration Number 333- 256452 when retrieving such copy.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Charges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Service</w:t>
            </w:r>
          </w:p>
        </w:tc>
        <w:tc>
          <w:tcPr>
            <w:tcW w:w="5400" w:type="dxa"/>
            <w:vAlign w:val="bottom"/>
            <w:gridSpan w:val="3"/>
          </w:tcPr>
          <w:p>
            <w:pPr>
              <w:ind w:left="60"/>
              <w:spacing w:after="0"/>
              <w:rPr>
                <w:sz w:val="20"/>
                <w:szCs w:val="20"/>
                <w:color w:val="auto"/>
              </w:rPr>
            </w:pPr>
            <w:r>
              <w:rPr>
                <w:rFonts w:ascii="Arial" w:cs="Arial" w:eastAsia="Arial" w:hAnsi="Arial"/>
                <w:sz w:val="18"/>
                <w:szCs w:val="18"/>
                <w:b w:val="1"/>
                <w:bCs w:val="1"/>
                <w:color w:val="auto"/>
              </w:rPr>
              <w:t>Fees</w:t>
            </w:r>
          </w:p>
        </w:tc>
      </w:tr>
      <w:tr>
        <w:trPr>
          <w:trHeight w:val="202"/>
        </w:trPr>
        <w:tc>
          <w:tcPr>
            <w:tcW w:w="500" w:type="dxa"/>
            <w:vAlign w:val="bottom"/>
          </w:tcPr>
          <w:p>
            <w:pPr>
              <w:spacing w:after="0"/>
              <w:rPr>
                <w:sz w:val="17"/>
                <w:szCs w:val="17"/>
                <w:color w:val="auto"/>
              </w:rPr>
            </w:pPr>
          </w:p>
        </w:tc>
        <w:tc>
          <w:tcPr>
            <w:tcW w:w="5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  Issuance of ADSs (e.g., an issuance of ADS upon a deposit of</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Up to U.S. 5¢ per ADS issued</w:t>
            </w:r>
          </w:p>
        </w:tc>
        <w:tc>
          <w:tcPr>
            <w:tcW w:w="54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5340" w:type="dxa"/>
            <w:vAlign w:val="bottom"/>
            <w:gridSpan w:val="2"/>
          </w:tcPr>
          <w:p>
            <w:pPr>
              <w:ind w:left="320"/>
              <w:spacing w:after="0"/>
              <w:rPr>
                <w:sz w:val="20"/>
                <w:szCs w:val="20"/>
                <w:color w:val="auto"/>
              </w:rPr>
            </w:pPr>
            <w:r>
              <w:rPr>
                <w:rFonts w:ascii="Arial" w:cs="Arial" w:eastAsia="Arial" w:hAnsi="Arial"/>
                <w:sz w:val="18"/>
                <w:szCs w:val="18"/>
                <w:color w:val="auto"/>
                <w:w w:val="94"/>
              </w:rPr>
              <w:t>ordinary shares, upon a change in the ADS(s)-to-ordinary share(s)</w:t>
            </w:r>
          </w:p>
        </w:tc>
        <w:tc>
          <w:tcPr>
            <w:tcW w:w="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340" w:type="dxa"/>
            <w:vAlign w:val="bottom"/>
            <w:gridSpan w:val="2"/>
          </w:tcPr>
          <w:p>
            <w:pPr>
              <w:ind w:left="320"/>
              <w:spacing w:after="0"/>
              <w:rPr>
                <w:sz w:val="20"/>
                <w:szCs w:val="20"/>
                <w:color w:val="auto"/>
              </w:rPr>
            </w:pPr>
            <w:r>
              <w:rPr>
                <w:rFonts w:ascii="Arial" w:cs="Arial" w:eastAsia="Arial" w:hAnsi="Arial"/>
                <w:sz w:val="18"/>
                <w:szCs w:val="18"/>
                <w:color w:val="auto"/>
                <w:w w:val="93"/>
              </w:rPr>
              <w:t>ratio, or for any other reason), excluding ADS issuances as a result</w:t>
            </w:r>
          </w:p>
        </w:tc>
        <w:tc>
          <w:tcPr>
            <w:tcW w:w="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5340" w:type="dxa"/>
            <w:vAlign w:val="bottom"/>
            <w:gridSpan w:val="2"/>
          </w:tcPr>
          <w:p>
            <w:pPr>
              <w:ind w:left="320"/>
              <w:spacing w:after="0"/>
              <w:rPr>
                <w:sz w:val="20"/>
                <w:szCs w:val="20"/>
                <w:color w:val="auto"/>
              </w:rPr>
            </w:pPr>
            <w:r>
              <w:rPr>
                <w:rFonts w:ascii="Arial" w:cs="Arial" w:eastAsia="Arial" w:hAnsi="Arial"/>
                <w:sz w:val="18"/>
                <w:szCs w:val="18"/>
                <w:color w:val="auto"/>
              </w:rPr>
              <w:t>of distributions of ordinary shares)</w:t>
            </w:r>
          </w:p>
        </w:tc>
        <w:tc>
          <w:tcPr>
            <w:tcW w:w="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18"/>
        </w:trPr>
        <w:tc>
          <w:tcPr>
            <w:tcW w:w="50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  Cancellation of ADSs (e.g., a cancellation of ADSs for delivery of</w:t>
            </w:r>
          </w:p>
        </w:tc>
        <w:tc>
          <w:tcPr>
            <w:tcW w:w="5400" w:type="dxa"/>
            <w:vAlign w:val="bottom"/>
            <w:gridSpan w:val="3"/>
          </w:tcPr>
          <w:p>
            <w:pPr>
              <w:ind w:left="60"/>
              <w:spacing w:after="0"/>
              <w:rPr>
                <w:sz w:val="20"/>
                <w:szCs w:val="20"/>
                <w:color w:val="auto"/>
              </w:rPr>
            </w:pPr>
            <w:r>
              <w:rPr>
                <w:rFonts w:ascii="Arial" w:cs="Arial" w:eastAsia="Arial" w:hAnsi="Arial"/>
                <w:sz w:val="18"/>
                <w:szCs w:val="18"/>
                <w:color w:val="auto"/>
              </w:rPr>
              <w:t>Up to U.S. 5¢ per ADS cancelled</w:t>
            </w:r>
          </w:p>
        </w:tc>
      </w:tr>
      <w:tr>
        <w:trPr>
          <w:trHeight w:val="216"/>
        </w:trPr>
        <w:tc>
          <w:tcPr>
            <w:tcW w:w="500" w:type="dxa"/>
            <w:vAlign w:val="bottom"/>
          </w:tcPr>
          <w:p>
            <w:pPr>
              <w:spacing w:after="0"/>
              <w:rPr>
                <w:sz w:val="18"/>
                <w:szCs w:val="18"/>
                <w:color w:val="auto"/>
              </w:rPr>
            </w:pPr>
          </w:p>
        </w:tc>
        <w:tc>
          <w:tcPr>
            <w:tcW w:w="5340" w:type="dxa"/>
            <w:vAlign w:val="bottom"/>
            <w:gridSpan w:val="2"/>
          </w:tcPr>
          <w:p>
            <w:pPr>
              <w:ind w:left="320"/>
              <w:spacing w:after="0"/>
              <w:rPr>
                <w:sz w:val="20"/>
                <w:szCs w:val="20"/>
                <w:color w:val="auto"/>
              </w:rPr>
            </w:pPr>
            <w:r>
              <w:rPr>
                <w:rFonts w:ascii="Arial" w:cs="Arial" w:eastAsia="Arial" w:hAnsi="Arial"/>
                <w:sz w:val="18"/>
                <w:szCs w:val="18"/>
                <w:color w:val="auto"/>
              </w:rPr>
              <w:t>deposited property, upon a change in the ADS(s)-to-ordinary</w:t>
            </w:r>
          </w:p>
        </w:tc>
        <w:tc>
          <w:tcPr>
            <w:tcW w:w="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5340" w:type="dxa"/>
            <w:vAlign w:val="bottom"/>
            <w:gridSpan w:val="2"/>
          </w:tcPr>
          <w:p>
            <w:pPr>
              <w:ind w:left="320"/>
              <w:spacing w:after="0"/>
              <w:rPr>
                <w:sz w:val="20"/>
                <w:szCs w:val="20"/>
                <w:color w:val="auto"/>
              </w:rPr>
            </w:pPr>
            <w:r>
              <w:rPr>
                <w:rFonts w:ascii="Arial" w:cs="Arial" w:eastAsia="Arial" w:hAnsi="Arial"/>
                <w:sz w:val="18"/>
                <w:szCs w:val="18"/>
                <w:color w:val="auto"/>
              </w:rPr>
              <w:t>share(s) ratio, or for any other reason)</w:t>
            </w:r>
          </w:p>
        </w:tc>
        <w:tc>
          <w:tcPr>
            <w:tcW w:w="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18"/>
        </w:trPr>
        <w:tc>
          <w:tcPr>
            <w:tcW w:w="50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6"/>
              </w:rPr>
              <w:t>•  Distribution of cash dividends or other cash distributions (e.g., upon</w:t>
            </w:r>
          </w:p>
        </w:tc>
        <w:tc>
          <w:tcPr>
            <w:tcW w:w="5400" w:type="dxa"/>
            <w:vAlign w:val="bottom"/>
            <w:gridSpan w:val="3"/>
          </w:tcPr>
          <w:p>
            <w:pPr>
              <w:ind w:left="60"/>
              <w:spacing w:after="0"/>
              <w:rPr>
                <w:sz w:val="20"/>
                <w:szCs w:val="20"/>
                <w:color w:val="auto"/>
              </w:rPr>
            </w:pPr>
            <w:r>
              <w:rPr>
                <w:rFonts w:ascii="Arial" w:cs="Arial" w:eastAsia="Arial" w:hAnsi="Arial"/>
                <w:sz w:val="18"/>
                <w:szCs w:val="18"/>
                <w:color w:val="auto"/>
              </w:rPr>
              <w:t>Up to U.S. 5¢ per ADS held</w:t>
            </w:r>
          </w:p>
        </w:tc>
      </w:tr>
      <w:tr>
        <w:trPr>
          <w:trHeight w:val="230"/>
        </w:trPr>
        <w:tc>
          <w:tcPr>
            <w:tcW w:w="500" w:type="dxa"/>
            <w:vAlign w:val="bottom"/>
          </w:tcPr>
          <w:p>
            <w:pPr>
              <w:spacing w:after="0"/>
              <w:rPr>
                <w:sz w:val="20"/>
                <w:szCs w:val="20"/>
                <w:color w:val="auto"/>
              </w:rPr>
            </w:pPr>
          </w:p>
        </w:tc>
        <w:tc>
          <w:tcPr>
            <w:tcW w:w="5340" w:type="dxa"/>
            <w:vAlign w:val="bottom"/>
            <w:gridSpan w:val="2"/>
          </w:tcPr>
          <w:p>
            <w:pPr>
              <w:ind w:left="320"/>
              <w:spacing w:after="0"/>
              <w:rPr>
                <w:sz w:val="20"/>
                <w:szCs w:val="20"/>
                <w:color w:val="auto"/>
              </w:rPr>
            </w:pPr>
            <w:r>
              <w:rPr>
                <w:rFonts w:ascii="Arial" w:cs="Arial" w:eastAsia="Arial" w:hAnsi="Arial"/>
                <w:sz w:val="18"/>
                <w:szCs w:val="18"/>
                <w:color w:val="auto"/>
              </w:rPr>
              <w:t>a sale of rights and other entitlements)</w:t>
            </w:r>
          </w:p>
        </w:tc>
        <w:tc>
          <w:tcPr>
            <w:tcW w:w="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18"/>
        </w:trPr>
        <w:tc>
          <w:tcPr>
            <w:tcW w:w="50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  Distribution of ADSs pursuant to (i) stock dividends or other free</w:t>
            </w:r>
          </w:p>
        </w:tc>
        <w:tc>
          <w:tcPr>
            <w:tcW w:w="5400" w:type="dxa"/>
            <w:vAlign w:val="bottom"/>
            <w:gridSpan w:val="3"/>
          </w:tcPr>
          <w:p>
            <w:pPr>
              <w:ind w:left="60"/>
              <w:spacing w:after="0"/>
              <w:rPr>
                <w:sz w:val="20"/>
                <w:szCs w:val="20"/>
                <w:color w:val="auto"/>
              </w:rPr>
            </w:pPr>
            <w:r>
              <w:rPr>
                <w:rFonts w:ascii="Arial" w:cs="Arial" w:eastAsia="Arial" w:hAnsi="Arial"/>
                <w:sz w:val="18"/>
                <w:szCs w:val="18"/>
                <w:color w:val="auto"/>
              </w:rPr>
              <w:t>Up to U.S. 5¢ per ADS held</w:t>
            </w:r>
          </w:p>
        </w:tc>
      </w:tr>
      <w:tr>
        <w:trPr>
          <w:trHeight w:val="216"/>
        </w:trPr>
        <w:tc>
          <w:tcPr>
            <w:tcW w:w="500" w:type="dxa"/>
            <w:vAlign w:val="bottom"/>
          </w:tcPr>
          <w:p>
            <w:pPr>
              <w:spacing w:after="0"/>
              <w:rPr>
                <w:sz w:val="18"/>
                <w:szCs w:val="18"/>
                <w:color w:val="auto"/>
              </w:rPr>
            </w:pPr>
          </w:p>
        </w:tc>
        <w:tc>
          <w:tcPr>
            <w:tcW w:w="5340" w:type="dxa"/>
            <w:vAlign w:val="bottom"/>
            <w:gridSpan w:val="2"/>
          </w:tcPr>
          <w:p>
            <w:pPr>
              <w:ind w:left="320"/>
              <w:spacing w:after="0"/>
              <w:rPr>
                <w:sz w:val="20"/>
                <w:szCs w:val="20"/>
                <w:color w:val="auto"/>
              </w:rPr>
            </w:pPr>
            <w:r>
              <w:rPr>
                <w:rFonts w:ascii="Arial" w:cs="Arial" w:eastAsia="Arial" w:hAnsi="Arial"/>
                <w:sz w:val="18"/>
                <w:szCs w:val="18"/>
                <w:color w:val="auto"/>
                <w:w w:val="96"/>
              </w:rPr>
              <w:t>stock distributions, or (ii) exercise of rights to purchase additional</w:t>
            </w:r>
          </w:p>
        </w:tc>
        <w:tc>
          <w:tcPr>
            <w:tcW w:w="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5340" w:type="dxa"/>
            <w:vAlign w:val="bottom"/>
            <w:gridSpan w:val="2"/>
          </w:tcPr>
          <w:p>
            <w:pPr>
              <w:ind w:left="320"/>
              <w:spacing w:after="0"/>
              <w:rPr>
                <w:sz w:val="20"/>
                <w:szCs w:val="20"/>
                <w:color w:val="auto"/>
              </w:rPr>
            </w:pPr>
            <w:r>
              <w:rPr>
                <w:rFonts w:ascii="Arial" w:cs="Arial" w:eastAsia="Arial" w:hAnsi="Arial"/>
                <w:sz w:val="18"/>
                <w:szCs w:val="18"/>
                <w:color w:val="auto"/>
              </w:rPr>
              <w:t>ADSs</w:t>
            </w:r>
          </w:p>
        </w:tc>
        <w:tc>
          <w:tcPr>
            <w:tcW w:w="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18"/>
        </w:trPr>
        <w:tc>
          <w:tcPr>
            <w:tcW w:w="50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  Distribution of securities other than ADSs or rights to purchase</w:t>
            </w:r>
          </w:p>
        </w:tc>
        <w:tc>
          <w:tcPr>
            <w:tcW w:w="5400" w:type="dxa"/>
            <w:vAlign w:val="bottom"/>
            <w:gridSpan w:val="3"/>
          </w:tcPr>
          <w:p>
            <w:pPr>
              <w:ind w:left="60"/>
              <w:spacing w:after="0"/>
              <w:rPr>
                <w:sz w:val="20"/>
                <w:szCs w:val="20"/>
                <w:color w:val="auto"/>
              </w:rPr>
            </w:pPr>
            <w:r>
              <w:rPr>
                <w:rFonts w:ascii="Arial" w:cs="Arial" w:eastAsia="Arial" w:hAnsi="Arial"/>
                <w:sz w:val="18"/>
                <w:szCs w:val="18"/>
                <w:color w:val="auto"/>
              </w:rPr>
              <w:t>Up to U.S. 5¢ per ADS held</w:t>
            </w:r>
          </w:p>
        </w:tc>
      </w:tr>
      <w:tr>
        <w:trPr>
          <w:trHeight w:val="230"/>
        </w:trPr>
        <w:tc>
          <w:tcPr>
            <w:tcW w:w="500" w:type="dxa"/>
            <w:vAlign w:val="bottom"/>
          </w:tcPr>
          <w:p>
            <w:pPr>
              <w:spacing w:after="0"/>
              <w:rPr>
                <w:sz w:val="20"/>
                <w:szCs w:val="20"/>
                <w:color w:val="auto"/>
              </w:rPr>
            </w:pPr>
          </w:p>
        </w:tc>
        <w:tc>
          <w:tcPr>
            <w:tcW w:w="5340" w:type="dxa"/>
            <w:vAlign w:val="bottom"/>
            <w:gridSpan w:val="2"/>
          </w:tcPr>
          <w:p>
            <w:pPr>
              <w:ind w:left="320"/>
              <w:spacing w:after="0"/>
              <w:rPr>
                <w:sz w:val="20"/>
                <w:szCs w:val="20"/>
                <w:color w:val="auto"/>
              </w:rPr>
            </w:pPr>
            <w:r>
              <w:rPr>
                <w:rFonts w:ascii="Arial" w:cs="Arial" w:eastAsia="Arial" w:hAnsi="Arial"/>
                <w:sz w:val="18"/>
                <w:szCs w:val="18"/>
                <w:color w:val="auto"/>
              </w:rPr>
              <w:t>additional ADSs (e.g., upon a spin-off)</w:t>
            </w:r>
          </w:p>
        </w:tc>
        <w:tc>
          <w:tcPr>
            <w:tcW w:w="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18"/>
        </w:trPr>
        <w:tc>
          <w:tcPr>
            <w:tcW w:w="50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  ADS Services</w:t>
            </w:r>
          </w:p>
        </w:tc>
        <w:tc>
          <w:tcPr>
            <w:tcW w:w="5400" w:type="dxa"/>
            <w:vAlign w:val="bottom"/>
            <w:gridSpan w:val="3"/>
          </w:tcPr>
          <w:p>
            <w:pPr>
              <w:ind w:left="60"/>
              <w:spacing w:after="0"/>
              <w:rPr>
                <w:sz w:val="20"/>
                <w:szCs w:val="20"/>
                <w:color w:val="auto"/>
              </w:rPr>
            </w:pPr>
            <w:r>
              <w:rPr>
                <w:rFonts w:ascii="Arial" w:cs="Arial" w:eastAsia="Arial" w:hAnsi="Arial"/>
                <w:sz w:val="18"/>
                <w:szCs w:val="18"/>
                <w:color w:val="auto"/>
              </w:rPr>
              <w:t>Up to U.S. 5¢ per ADS held on the applicable record date(s)</w:t>
            </w:r>
          </w:p>
        </w:tc>
      </w:tr>
      <w:tr>
        <w:trPr>
          <w:trHeight w:val="230"/>
        </w:trPr>
        <w:tc>
          <w:tcPr>
            <w:tcW w:w="50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0" w:type="dxa"/>
            <w:vAlign w:val="bottom"/>
            <w:gridSpan w:val="3"/>
          </w:tcPr>
          <w:p>
            <w:pPr>
              <w:ind w:left="60"/>
              <w:spacing w:after="0"/>
              <w:rPr>
                <w:sz w:val="20"/>
                <w:szCs w:val="20"/>
                <w:color w:val="auto"/>
              </w:rPr>
            </w:pPr>
            <w:r>
              <w:rPr>
                <w:rFonts w:ascii="Arial" w:cs="Arial" w:eastAsia="Arial" w:hAnsi="Arial"/>
                <w:sz w:val="18"/>
                <w:szCs w:val="18"/>
                <w:color w:val="auto"/>
              </w:rPr>
              <w:t>established by the depositary bank</w:t>
            </w:r>
          </w:p>
        </w:tc>
      </w:tr>
      <w:tr>
        <w:trPr>
          <w:trHeight w:val="418"/>
        </w:trPr>
        <w:tc>
          <w:tcPr>
            <w:tcW w:w="50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  Registration of ADS transfers (e.g., upon a registration of the</w:t>
            </w:r>
          </w:p>
        </w:tc>
        <w:tc>
          <w:tcPr>
            <w:tcW w:w="5400" w:type="dxa"/>
            <w:vAlign w:val="bottom"/>
            <w:gridSpan w:val="3"/>
          </w:tcPr>
          <w:p>
            <w:pPr>
              <w:ind w:left="60"/>
              <w:spacing w:after="0"/>
              <w:rPr>
                <w:sz w:val="20"/>
                <w:szCs w:val="20"/>
                <w:color w:val="auto"/>
              </w:rPr>
            </w:pPr>
            <w:r>
              <w:rPr>
                <w:rFonts w:ascii="Arial" w:cs="Arial" w:eastAsia="Arial" w:hAnsi="Arial"/>
                <w:sz w:val="18"/>
                <w:szCs w:val="18"/>
                <w:color w:val="auto"/>
              </w:rPr>
              <w:t>Up to U.S. 5¢ per ADS (or fraction thereof) transferred</w:t>
            </w:r>
          </w:p>
        </w:tc>
      </w:tr>
      <w:tr>
        <w:trPr>
          <w:trHeight w:val="216"/>
        </w:trPr>
        <w:tc>
          <w:tcPr>
            <w:tcW w:w="500" w:type="dxa"/>
            <w:vAlign w:val="bottom"/>
          </w:tcPr>
          <w:p>
            <w:pPr>
              <w:spacing w:after="0"/>
              <w:rPr>
                <w:sz w:val="18"/>
                <w:szCs w:val="18"/>
                <w:color w:val="auto"/>
              </w:rPr>
            </w:pPr>
          </w:p>
        </w:tc>
        <w:tc>
          <w:tcPr>
            <w:tcW w:w="5340" w:type="dxa"/>
            <w:vAlign w:val="bottom"/>
            <w:gridSpan w:val="2"/>
          </w:tcPr>
          <w:p>
            <w:pPr>
              <w:ind w:left="320"/>
              <w:spacing w:after="0"/>
              <w:rPr>
                <w:sz w:val="20"/>
                <w:szCs w:val="20"/>
                <w:color w:val="auto"/>
              </w:rPr>
            </w:pPr>
            <w:r>
              <w:rPr>
                <w:rFonts w:ascii="Arial" w:cs="Arial" w:eastAsia="Arial" w:hAnsi="Arial"/>
                <w:sz w:val="18"/>
                <w:szCs w:val="18"/>
                <w:color w:val="auto"/>
                <w:w w:val="95"/>
              </w:rPr>
              <w:t>transfer of registered ownership of ADSs, upon a transfer of ADSs</w:t>
            </w:r>
          </w:p>
        </w:tc>
        <w:tc>
          <w:tcPr>
            <w:tcW w:w="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5340" w:type="dxa"/>
            <w:vAlign w:val="bottom"/>
            <w:gridSpan w:val="2"/>
          </w:tcPr>
          <w:p>
            <w:pPr>
              <w:ind w:left="320"/>
              <w:spacing w:after="0"/>
              <w:rPr>
                <w:sz w:val="20"/>
                <w:szCs w:val="20"/>
                <w:color w:val="auto"/>
              </w:rPr>
            </w:pPr>
            <w:r>
              <w:rPr>
                <w:rFonts w:ascii="Arial" w:cs="Arial" w:eastAsia="Arial" w:hAnsi="Arial"/>
                <w:sz w:val="18"/>
                <w:szCs w:val="18"/>
                <w:color w:val="auto"/>
              </w:rPr>
              <w:t xml:space="preserve">into DTC and </w:t>
            </w:r>
            <w:r>
              <w:rPr>
                <w:rFonts w:ascii="Arial" w:cs="Arial" w:eastAsia="Arial" w:hAnsi="Arial"/>
                <w:sz w:val="18"/>
                <w:szCs w:val="18"/>
                <w:i w:val="1"/>
                <w:iCs w:val="1"/>
                <w:color w:val="auto"/>
              </w:rPr>
              <w:t>vice versa</w:t>
            </w:r>
            <w:r>
              <w:rPr>
                <w:rFonts w:ascii="Arial" w:cs="Arial" w:eastAsia="Arial" w:hAnsi="Arial"/>
                <w:sz w:val="18"/>
                <w:szCs w:val="18"/>
                <w:color w:val="auto"/>
              </w:rPr>
              <w:t>, or for any other reason)</w:t>
            </w:r>
          </w:p>
        </w:tc>
        <w:tc>
          <w:tcPr>
            <w:tcW w:w="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18"/>
        </w:trPr>
        <w:tc>
          <w:tcPr>
            <w:tcW w:w="50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6"/>
              </w:rPr>
              <w:t>•  Conversion of ADSs of one series for ADSs of another series (e.g.,</w:t>
            </w:r>
          </w:p>
        </w:tc>
        <w:tc>
          <w:tcPr>
            <w:tcW w:w="5400" w:type="dxa"/>
            <w:vAlign w:val="bottom"/>
            <w:gridSpan w:val="3"/>
          </w:tcPr>
          <w:p>
            <w:pPr>
              <w:ind w:left="60"/>
              <w:spacing w:after="0"/>
              <w:rPr>
                <w:sz w:val="20"/>
                <w:szCs w:val="20"/>
                <w:color w:val="auto"/>
              </w:rPr>
            </w:pPr>
            <w:r>
              <w:rPr>
                <w:rFonts w:ascii="Arial" w:cs="Arial" w:eastAsia="Arial" w:hAnsi="Arial"/>
                <w:sz w:val="18"/>
                <w:szCs w:val="18"/>
                <w:color w:val="auto"/>
              </w:rPr>
              <w:t>Up to U.S. 5¢ per ADS (or fraction thereof) converted</w:t>
            </w:r>
          </w:p>
        </w:tc>
      </w:tr>
      <w:tr>
        <w:trPr>
          <w:trHeight w:val="216"/>
        </w:trPr>
        <w:tc>
          <w:tcPr>
            <w:tcW w:w="500" w:type="dxa"/>
            <w:vAlign w:val="bottom"/>
          </w:tcPr>
          <w:p>
            <w:pPr>
              <w:spacing w:after="0"/>
              <w:rPr>
                <w:sz w:val="18"/>
                <w:szCs w:val="18"/>
                <w:color w:val="auto"/>
              </w:rPr>
            </w:pPr>
          </w:p>
        </w:tc>
        <w:tc>
          <w:tcPr>
            <w:tcW w:w="5340" w:type="dxa"/>
            <w:vAlign w:val="bottom"/>
            <w:gridSpan w:val="2"/>
          </w:tcPr>
          <w:p>
            <w:pPr>
              <w:ind w:left="320"/>
              <w:spacing w:after="0"/>
              <w:rPr>
                <w:sz w:val="20"/>
                <w:szCs w:val="20"/>
                <w:color w:val="auto"/>
              </w:rPr>
            </w:pPr>
            <w:r>
              <w:rPr>
                <w:rFonts w:ascii="Arial" w:cs="Arial" w:eastAsia="Arial" w:hAnsi="Arial"/>
                <w:sz w:val="18"/>
                <w:szCs w:val="18"/>
                <w:color w:val="auto"/>
                <w:w w:val="98"/>
              </w:rPr>
              <w:t>upon conversion of Partial Entitlement ADSs for Full Entitlement</w:t>
            </w:r>
          </w:p>
        </w:tc>
        <w:tc>
          <w:tcPr>
            <w:tcW w:w="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340" w:type="dxa"/>
            <w:vAlign w:val="bottom"/>
            <w:gridSpan w:val="2"/>
          </w:tcPr>
          <w:p>
            <w:pPr>
              <w:ind w:left="320"/>
              <w:spacing w:after="0"/>
              <w:rPr>
                <w:sz w:val="20"/>
                <w:szCs w:val="20"/>
                <w:color w:val="auto"/>
              </w:rPr>
            </w:pPr>
            <w:r>
              <w:rPr>
                <w:rFonts w:ascii="Arial" w:cs="Arial" w:eastAsia="Arial" w:hAnsi="Arial"/>
                <w:sz w:val="18"/>
                <w:szCs w:val="18"/>
                <w:color w:val="auto"/>
                <w:w w:val="95"/>
              </w:rPr>
              <w:t>ADSs, or upon conversion of Restricted ADSs (each as defined in</w:t>
            </w:r>
          </w:p>
        </w:tc>
        <w:tc>
          <w:tcPr>
            <w:tcW w:w="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340" w:type="dxa"/>
            <w:vAlign w:val="bottom"/>
            <w:gridSpan w:val="2"/>
          </w:tcPr>
          <w:p>
            <w:pPr>
              <w:ind w:left="320"/>
              <w:spacing w:after="0"/>
              <w:rPr>
                <w:sz w:val="20"/>
                <w:szCs w:val="20"/>
                <w:color w:val="auto"/>
              </w:rPr>
            </w:pPr>
            <w:r>
              <w:rPr>
                <w:rFonts w:ascii="Arial" w:cs="Arial" w:eastAsia="Arial" w:hAnsi="Arial"/>
                <w:sz w:val="18"/>
                <w:szCs w:val="18"/>
                <w:color w:val="auto"/>
                <w:w w:val="99"/>
              </w:rPr>
              <w:t xml:space="preserve">the Deposit Agreement) into freely transferable ADSs, and </w:t>
            </w:r>
            <w:r>
              <w:rPr>
                <w:rFonts w:ascii="Arial" w:cs="Arial" w:eastAsia="Arial" w:hAnsi="Arial"/>
                <w:sz w:val="18"/>
                <w:szCs w:val="18"/>
                <w:i w:val="1"/>
                <w:iCs w:val="1"/>
                <w:color w:val="auto"/>
                <w:w w:val="99"/>
              </w:rPr>
              <w:t>vice</w:t>
            </w:r>
          </w:p>
        </w:tc>
        <w:tc>
          <w:tcPr>
            <w:tcW w:w="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5340" w:type="dxa"/>
            <w:vAlign w:val="bottom"/>
            <w:gridSpan w:val="2"/>
          </w:tcPr>
          <w:p>
            <w:pPr>
              <w:ind w:left="320"/>
              <w:spacing w:after="0"/>
              <w:rPr>
                <w:sz w:val="20"/>
                <w:szCs w:val="20"/>
                <w:color w:val="auto"/>
              </w:rPr>
            </w:pPr>
            <w:r>
              <w:rPr>
                <w:rFonts w:ascii="Arial" w:cs="Arial" w:eastAsia="Arial" w:hAnsi="Arial"/>
                <w:sz w:val="18"/>
                <w:szCs w:val="18"/>
                <w:i w:val="1"/>
                <w:iCs w:val="1"/>
                <w:color w:val="auto"/>
              </w:rPr>
              <w:t>versa</w:t>
            </w: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608"/>
        </w:trPr>
        <w:tc>
          <w:tcPr>
            <w:tcW w:w="5840" w:type="dxa"/>
            <w:vAlign w:val="bottom"/>
            <w:gridSpan w:val="3"/>
          </w:tcPr>
          <w:p>
            <w:pPr>
              <w:jc w:val="right"/>
              <w:ind w:right="80"/>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61"/>
        </w:trPr>
        <w:tc>
          <w:tcPr>
            <w:tcW w:w="500" w:type="dxa"/>
            <w:vAlign w:val="bottom"/>
            <w:tcBorders>
              <w:bottom w:val="single" w:sz="8" w:color="auto"/>
            </w:tcBorders>
          </w:tcPr>
          <w:p>
            <w:pPr>
              <w:spacing w:after="0"/>
              <w:rPr>
                <w:sz w:val="5"/>
                <w:szCs w:val="5"/>
                <w:color w:val="auto"/>
              </w:rPr>
            </w:pPr>
          </w:p>
        </w:tc>
        <w:tc>
          <w:tcPr>
            <w:tcW w:w="5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8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109" w:name="page110"/>
    <w:bookmarkEnd w:id="109"/>
    <w:p>
      <w:pPr>
        <w:ind w:left="440"/>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225" w:lineRule="exact"/>
        <w:rPr>
          <w:sz w:val="20"/>
          <w:szCs w:val="20"/>
          <w:color w:val="auto"/>
        </w:rPr>
      </w:pPr>
    </w:p>
    <w:p>
      <w:pPr>
        <w:ind w:left="780" w:hanging="340"/>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225" w:lineRule="exact"/>
        <w:rPr>
          <w:rFonts w:ascii="Arial" w:cs="Arial" w:eastAsia="Arial" w:hAnsi="Arial"/>
          <w:sz w:val="18"/>
          <w:szCs w:val="18"/>
          <w:color w:val="auto"/>
        </w:rPr>
      </w:pPr>
    </w:p>
    <w:p>
      <w:pPr>
        <w:jc w:val="both"/>
        <w:ind w:left="780" w:hanging="340"/>
        <w:spacing w:after="0" w:line="263"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bank or any nominees upon the making of deposits and withdrawals, respectively;</w:t>
      </w:r>
    </w:p>
    <w:p>
      <w:pPr>
        <w:spacing w:after="0" w:line="183" w:lineRule="exact"/>
        <w:rPr>
          <w:rFonts w:ascii="Arial" w:cs="Arial" w:eastAsia="Arial" w:hAnsi="Arial"/>
          <w:sz w:val="18"/>
          <w:szCs w:val="18"/>
          <w:color w:val="auto"/>
        </w:rPr>
      </w:pPr>
    </w:p>
    <w:p>
      <w:pPr>
        <w:ind w:left="780" w:hanging="340"/>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certain cable, telex and facsimile transmission and delivery expenses;</w:t>
      </w:r>
    </w:p>
    <w:p>
      <w:pPr>
        <w:spacing w:after="0" w:line="225" w:lineRule="exact"/>
        <w:rPr>
          <w:rFonts w:ascii="Arial" w:cs="Arial" w:eastAsia="Arial" w:hAnsi="Arial"/>
          <w:sz w:val="18"/>
          <w:szCs w:val="18"/>
          <w:color w:val="auto"/>
        </w:rPr>
      </w:pPr>
    </w:p>
    <w:p>
      <w:pPr>
        <w:ind w:left="780" w:hanging="340"/>
        <w:spacing w:after="0" w:line="277"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fees, expenses, spreads, taxes and other charges of the depositary bank and/or service providers (which may be a division, branch or affiliate of the depositary bank) in the conversion of foreign currency;</w:t>
      </w:r>
    </w:p>
    <w:p>
      <w:pPr>
        <w:spacing w:after="0" w:line="170" w:lineRule="exact"/>
        <w:rPr>
          <w:rFonts w:ascii="Arial" w:cs="Arial" w:eastAsia="Arial" w:hAnsi="Arial"/>
          <w:sz w:val="18"/>
          <w:szCs w:val="18"/>
          <w:color w:val="auto"/>
        </w:rPr>
      </w:pPr>
    </w:p>
    <w:p>
      <w:pPr>
        <w:ind w:left="780" w:hanging="340"/>
        <w:spacing w:after="0" w:line="277"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reasonable and customary out-of-pocket expenses incurred by the depositary bank in connection with compliance with exchange control regulations and other regulatory requirements applicable to ordinary shares, ADSs and ADRs; and</w:t>
      </w:r>
    </w:p>
    <w:p>
      <w:pPr>
        <w:spacing w:after="0" w:line="170" w:lineRule="exact"/>
        <w:rPr>
          <w:rFonts w:ascii="Arial" w:cs="Arial" w:eastAsia="Arial" w:hAnsi="Arial"/>
          <w:sz w:val="18"/>
          <w:szCs w:val="18"/>
          <w:color w:val="auto"/>
        </w:rPr>
      </w:pPr>
    </w:p>
    <w:p>
      <w:pPr>
        <w:ind w:left="780" w:hanging="340"/>
        <w:spacing w:after="0"/>
        <w:tabs>
          <w:tab w:leader="none" w:pos="7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fees, charges, costs and expenses incurred by the depositary bank, the custodian, or any nominee in connection with the ADR program.</w:t>
      </w:r>
    </w:p>
    <w:p>
      <w:pPr>
        <w:spacing w:after="0" w:line="248"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82"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6"/>
          <w:szCs w:val="16"/>
          <w:color w:val="auto"/>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Note that the fees and charges you may be required to pay may vary over time and may be changed by us and by the depositary bank. You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additional information called for by this item is set forth in Exhibit 2.1 to this annual report on Form 20-F.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0" w:name="page111"/>
    <w:bookmarkEnd w:id="110"/>
    <w:p>
      <w:pPr>
        <w:ind w:left="530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229"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In connection with our IPO, we amended and restated our articles of association. A copy of our amended and restated articles of association is attached as Exhibit 1.1 to this annual report on Form 20-F.</w:t>
      </w:r>
    </w:p>
    <w:p>
      <w:pPr>
        <w:spacing w:after="0" w:line="170"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The effective date of the registration statement (Commission File Number 333-256452) for our initial public offering of our ADSs on the Nasdaq Global Select Market was June 17, 2021. The offering commenced on June 17, 2021 and was closed on July 15, 2021. RBC Capital Markets, LLC and Stifel, Nicolaus &amp; Company, Incorporated were joint bookrunning managers for the offering, and JMP Securities LLC, Needham &amp; Company, LLC and Raymond James &amp; Associates, Inc. were co-managers for the offering. We registered 13,537,906 ordinary shares, represented by 6,768,953 ADSs, at an aggregate offering price of $128,610,107 ($19.00 per ADS) and granted the underwriters an option to purchase up to 1,015,342 additional ADSs (representing 2,030,684 ordinary shares) within 30 days from the date of the original prospectus. Of such shares, we sold a total of 15,568,590 ordinary shares, represented by 7,784,295 ADSs, at an aggregate offering price of $147.9 million. We incurred underwriting discounts of $10.4 million, and estimated expenses of $2.9 million in connection with the offering, resulting in net proceeds to us of approximately $134.6 million.</w:t>
      </w:r>
    </w:p>
    <w:p>
      <w:pPr>
        <w:spacing w:after="0" w:line="178"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From the effective date of the registration statement and until December 31, 2021, we have used existing cash and the net proceeds of the IPO for working capital and other general corporate purposes. We may also use all or a portion of the net proceeds to make acquisitions or investments in complementary companies or technologies, although we do not have any agreement or understanding with respect to any such acquisition or investment at this time.</w:t>
      </w:r>
    </w:p>
    <w:p>
      <w:pPr>
        <w:spacing w:after="0" w:line="187"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None of the net proceeds of the offering was paid directly or indirectly to any director, officer, general partner of ours or to their associates, persons owning 10% or more of any class of our equity securities, or to any of our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We maintain disclosure controls and procedures (as that term is defined in Rules 13a-15(e) and 15d-15(e) under the Exchange Act that are designed to ensure that information required to be disclosed in the Company’s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can provide only reasonable assurance of achieving the desired objectives of the disclosure controls and procedures. Our management, with the participation of our Chief Executive Officer and Chief Financial Officer, has evaluated the effectiveness of the design and operation of our disclosure controls and procedures as of December 31, 2021. Based upon that evaluation, our Chief Executive Officer and Chief Financial Officer concluded that, as of December 31, 2021, our disclosure controls and procedures were effective.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due to a transition period established by rules of the SEC for newly public companies. This Annual Report also does not include an attestation report of our independent registered public accounting firm due to a transition period established by rules of the SEC for newly public companies. Additionally, our independent registered public accounting firm will not be required to opine on the effectiveness of our internal control over financial reporting until we are no longer an emerging growth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20" w:firstLine="441"/>
        <w:spacing w:after="0" w:line="263"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Exchange Act) that occurred during the period covered by this Annual Report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16.A. AUDIT COMMITTEE AND FINANCIAL EXPERT</w:t>
      </w:r>
    </w:p>
    <w:p>
      <w:pPr>
        <w:spacing w:after="0" w:line="229" w:lineRule="exact"/>
        <w:rPr>
          <w:sz w:val="20"/>
          <w:szCs w:val="20"/>
          <w:color w:val="auto"/>
        </w:rPr>
      </w:pPr>
    </w:p>
    <w:p>
      <w:pPr>
        <w:jc w:val="both"/>
        <w:ind w:firstLine="441"/>
        <w:spacing w:after="0" w:line="311" w:lineRule="auto"/>
        <w:rPr>
          <w:sz w:val="20"/>
          <w:szCs w:val="20"/>
          <w:color w:val="auto"/>
        </w:rPr>
      </w:pPr>
      <w:r>
        <w:rPr>
          <w:rFonts w:ascii="Arial" w:cs="Arial" w:eastAsia="Arial" w:hAnsi="Arial"/>
          <w:sz w:val="16"/>
          <w:szCs w:val="16"/>
          <w:color w:val="auto"/>
        </w:rPr>
        <w:t xml:space="preserve">Our board of directors has determined that Neil Jones qualifies as an audit committee financial expert, as defined by the rules of the SEC and has the requisite financial experience defined by the Nasdaq Marketplace Rules. In addition, Mr. Jones is independent as such term is defined in Rule 10A-3(b)(1) under the Exchange Act and under the listing standards of the Nasdaq Global Market. See Item </w:t>
      </w:r>
      <w:r>
        <w:rPr>
          <w:rFonts w:ascii="Arial" w:cs="Arial" w:eastAsia="Arial" w:hAnsi="Arial"/>
          <w:sz w:val="16"/>
          <w:szCs w:val="16"/>
          <w:i w:val="1"/>
          <w:iCs w:val="1"/>
          <w:color w:val="auto"/>
        </w:rPr>
        <w:t>6.C. “Board Practices”</w:t>
      </w:r>
      <w:r>
        <w:rPr>
          <w:rFonts w:ascii="Arial" w:cs="Arial" w:eastAsia="Arial" w:hAnsi="Arial"/>
          <w:sz w:val="16"/>
          <w:szCs w:val="16"/>
          <w:color w:val="auto"/>
        </w:rPr>
        <w:t xml:space="preserve"> of this Annual Report.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16.B. CODE OF ETHICS</w:t>
      </w:r>
    </w:p>
    <w:p>
      <w:pPr>
        <w:spacing w:after="0" w:line="229"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We have adopted a Code of Ethics and Conduct that applies to all our employees, officers and directors, including our principal executive, principal financial and principal accounting officers. Our Code of Ethics and Conduct addresses, among other things, competition and fair dealing, conflicts of interest, financial matters and external reporting, company funds and assets, confidentiality and corporate opportunity requirements and the process for reporting violations of the Code of Ethics and Conduct, employee misconduct, conflicts of interest or other violations. A copy of the code is delivered to every employee of the company and all of its subsidiaries and is available to investors and others on our website at http:// https://investors.tremorinternational.com/governance/governance-overview or by contacting our investor relations department. Our Code of Ethics and Conduct is intended to meet the definition of “code of ethics” under Item 16B of Form 20-F.</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16.C. 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Somekh Chaikin, Tel Aviv, Israel (PCAOB ID 1057), a member of KPMG International, has served as our independent registered public accounting firm for 2021 and 2020. Following are KPMG International's fees for professional services in each of the respective fiscal years:</w:t>
      </w:r>
    </w:p>
    <w:p>
      <w:pPr>
        <w:spacing w:after="0" w:line="166" w:lineRule="exact"/>
        <w:rPr>
          <w:sz w:val="20"/>
          <w:szCs w:val="20"/>
          <w:color w:val="auto"/>
        </w:rPr>
      </w:pPr>
    </w:p>
    <w:p>
      <w:pPr>
        <w:ind w:left="8880"/>
        <w:spacing w:after="0"/>
        <w:rPr>
          <w:sz w:val="20"/>
          <w:szCs w:val="20"/>
          <w:color w:val="auto"/>
        </w:rPr>
      </w:pPr>
      <w:r>
        <w:rPr>
          <w:rFonts w:ascii="Arial" w:cs="Arial" w:eastAsia="Arial" w:hAnsi="Arial"/>
          <w:sz w:val="18"/>
          <w:szCs w:val="18"/>
          <w:b w:val="1"/>
          <w:bCs w:val="1"/>
          <w:color w:val="auto"/>
        </w:rPr>
        <w:t>Year Ending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(in</w:t>
            </w:r>
          </w:p>
        </w:tc>
        <w:tc>
          <w:tcPr>
            <w:tcW w:w="1020" w:type="dxa"/>
            <w:vAlign w:val="bottom"/>
            <w:gridSpan w:val="2"/>
          </w:tcPr>
          <w:p>
            <w:pPr>
              <w:jc w:val="right"/>
              <w:ind w:right="310"/>
              <w:spacing w:after="0"/>
              <w:rPr>
                <w:sz w:val="20"/>
                <w:szCs w:val="20"/>
                <w:color w:val="auto"/>
              </w:rPr>
            </w:pPr>
            <w:r>
              <w:rPr>
                <w:rFonts w:ascii="Arial" w:cs="Arial" w:eastAsia="Arial" w:hAnsi="Arial"/>
                <w:sz w:val="17"/>
                <w:szCs w:val="17"/>
                <w:color w:val="auto"/>
                <w:w w:val="71"/>
              </w:rPr>
              <w:t>thousands)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54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w w:val="99"/>
              </w:rPr>
              <w:t>551</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724</w:t>
            </w: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540" w:type="dxa"/>
            <w:vAlign w:val="bottom"/>
            <w:gridSpan w:val="2"/>
          </w:tcPr>
          <w:p>
            <w:pPr>
              <w:jc w:val="right"/>
              <w:ind w:right="136"/>
              <w:spacing w:after="0"/>
              <w:rPr>
                <w:sz w:val="20"/>
                <w:szCs w:val="20"/>
                <w:color w:val="auto"/>
              </w:rPr>
            </w:pPr>
            <w:r>
              <w:rPr>
                <w:rFonts w:ascii="Arial" w:cs="Arial" w:eastAsia="Arial" w:hAnsi="Arial"/>
                <w:sz w:val="18"/>
                <w:szCs w:val="18"/>
                <w:color w:val="auto"/>
                <w:w w:val="99"/>
              </w:rPr>
              <w:t>125</w:t>
            </w:r>
          </w:p>
        </w:tc>
        <w:tc>
          <w:tcPr>
            <w:tcW w:w="8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54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w w:val="99"/>
              </w:rPr>
              <w:t>213</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249</w:t>
            </w:r>
          </w:p>
        </w:tc>
      </w:tr>
      <w:tr>
        <w:trPr>
          <w:trHeight w:val="216"/>
        </w:trPr>
        <w:tc>
          <w:tcPr>
            <w:tcW w:w="9480" w:type="dxa"/>
            <w:vAlign w:val="bottom"/>
            <w:gridSpan w:val="2"/>
          </w:tcPr>
          <w:p>
            <w:pPr>
              <w:spacing w:after="0"/>
              <w:rPr>
                <w:sz w:val="18"/>
                <w:szCs w:val="18"/>
                <w:color w:val="auto"/>
              </w:rPr>
            </w:pPr>
          </w:p>
        </w:tc>
        <w:tc>
          <w:tcPr>
            <w:tcW w:w="54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b w:val="1"/>
                <w:bCs w:val="1"/>
                <w:color w:val="auto"/>
                <w:w w:val="99"/>
              </w:rPr>
              <w:t>889</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973</w:t>
            </w:r>
          </w:p>
        </w:tc>
      </w:tr>
    </w:tbl>
    <w:p>
      <w:pPr>
        <w:spacing w:after="0" w:line="202" w:lineRule="exact"/>
        <w:rPr>
          <w:sz w:val="20"/>
          <w:szCs w:val="20"/>
          <w:color w:val="auto"/>
        </w:rPr>
      </w:pPr>
    </w:p>
    <w:p>
      <w:pPr>
        <w:ind w:left="660" w:right="2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“Audit fees” are the aggregate fees paid for the audit of our annual financial statements. This category also includes services that generally the independent accountant provides, such as consents and assistance with and review of documents filed with the SEC.</w:t>
      </w:r>
    </w:p>
    <w:p>
      <w:pPr>
        <w:spacing w:after="0" w:line="170"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“Audit-related fees” are the aggregate fees paid for assurance and related services that are reasonably related to the performance of the audit and are not reported under audit fees. These fees primarily include accounting consultations regarding the accounting treatment of matters that occur in the regular course of business, implications of new accounting pronouncements and other accounting issues that occur from time to time.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advance approval of the Audit Committee or members thereof, to whom approval authority has been delegated, is required for all audit and non-audit services provided by our auditors.</w:t>
      </w:r>
    </w:p>
    <w:p>
      <w:pPr>
        <w:spacing w:after="0" w:line="170"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Our audit committee has adopted a pre-approval policy for the engagement of our independent accountant to perform certain audit and non-audit services. Pursuant to this policy, which is designed to assure that such engagements do not impair the independence of our auditors, the audit committee pre-approves annually a catalog of specific audit and non-audit services in the categories of audit service, audit-related service and tax services that may be performed by our independent accountants.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2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As previously publicly announced on December 22, 2020, our board of directors approved a share buyback program for an aggregate purchase price of up to $10 million. On March 26, 2021, our board of directors terminated the buyback program due to our election to pursue the IPO on Nasdaq, which was completed in June 2021.</w:t>
      </w:r>
    </w:p>
    <w:p>
      <w:pPr>
        <w:spacing w:after="0" w:line="184"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During 2021 and prior to the termination of the buyback program, we used $6.6 million to repurchase 917,998 ordinary shares on AIM pursuant to the publicly announced buyback program. The table below provides detailed information.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1157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711575"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January 1 –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1 – February 28</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March 1 –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April 1 – April 30</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May 1 –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June 1 – June 30</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July 1 –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August 1 – August 31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September 1 –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October 1 – October 31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November 1 – November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December 1 – December 31</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*Equivalent to $14.44 per ADS Each ADS represents two ordinary shares.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4"/>
              </w:rPr>
              <w:t>Number (or</w:t>
            </w:r>
          </w:p>
        </w:tc>
      </w:tr>
      <w:tr>
        <w:trPr>
          <w:trHeight w:val="216"/>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26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4"/>
              </w:rPr>
              <w:t>Dollar Value)</w:t>
            </w:r>
          </w:p>
        </w:tc>
      </w:tr>
      <w:tr>
        <w:trPr>
          <w:trHeight w:val="216"/>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of Ordinary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4"/>
              </w:rPr>
              <w:t>of Ordinary</w:t>
            </w:r>
          </w:p>
        </w:tc>
      </w:tr>
      <w:tr>
        <w:trPr>
          <w:trHeight w:val="216"/>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Purchased as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Part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Total Number</w:t>
            </w:r>
          </w:p>
        </w:tc>
        <w:tc>
          <w:tcPr>
            <w:tcW w:w="12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 Price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Publicly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2"/>
              </w:rPr>
              <w:t>under the</w:t>
            </w:r>
          </w:p>
        </w:tc>
      </w:tr>
      <w:tr>
        <w:trPr>
          <w:trHeight w:val="216"/>
        </w:trPr>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of Ordinary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Paid per</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7"/>
              </w:rPr>
              <w:t>Plans</w:t>
            </w:r>
          </w:p>
        </w:tc>
      </w:tr>
      <w:tr>
        <w:trPr>
          <w:trHeight w:val="216"/>
        </w:trPr>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Ordinary</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Plans 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8"/>
              </w:rPr>
              <w:t>or</w:t>
            </w:r>
          </w:p>
        </w:tc>
      </w:tr>
      <w:tr>
        <w:trPr>
          <w:trHeight w:val="24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Share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Programs(2)</w:t>
            </w:r>
          </w:p>
        </w:tc>
        <w:tc>
          <w:tcPr>
            <w:tcW w:w="140" w:type="dxa"/>
            <w:vAlign w:val="bottom"/>
          </w:tcPr>
          <w:p>
            <w:pPr>
              <w:spacing w:after="0"/>
              <w:rPr>
                <w:sz w:val="20"/>
                <w:szCs w:val="20"/>
                <w:color w:val="auto"/>
              </w:rPr>
            </w:pPr>
          </w:p>
        </w:tc>
      </w:tr>
      <w:tr>
        <w:trPr>
          <w:trHeight w:val="229"/>
        </w:trPr>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419,766</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6.18</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419,766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m</w:t>
            </w:r>
          </w:p>
        </w:tc>
      </w:tr>
      <w:tr>
        <w:trPr>
          <w:trHeight w:val="243"/>
        </w:trPr>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386,093</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8.14</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805,859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7.4m</w:t>
            </w:r>
          </w:p>
        </w:tc>
      </w:tr>
      <w:tr>
        <w:trPr>
          <w:trHeight w:val="257"/>
        </w:trPr>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112,139</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7.96</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917,998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4.3m</w:t>
            </w:r>
          </w:p>
        </w:tc>
      </w:tr>
      <w:tr>
        <w:trPr>
          <w:trHeight w:val="243"/>
        </w:trPr>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0</w:t>
            </w:r>
          </w:p>
        </w:tc>
      </w:tr>
      <w:tr>
        <w:trPr>
          <w:trHeight w:val="243"/>
        </w:trPr>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0</w:t>
            </w:r>
          </w:p>
        </w:tc>
      </w:tr>
      <w:tr>
        <w:trPr>
          <w:trHeight w:val="243"/>
        </w:trPr>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0</w:t>
            </w:r>
          </w:p>
        </w:tc>
      </w:tr>
      <w:tr>
        <w:trPr>
          <w:trHeight w:val="243"/>
        </w:trPr>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0</w:t>
            </w:r>
          </w:p>
        </w:tc>
      </w:tr>
      <w:tr>
        <w:trPr>
          <w:trHeight w:val="243"/>
        </w:trPr>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0</w:t>
            </w:r>
          </w:p>
        </w:tc>
      </w:tr>
      <w:tr>
        <w:trPr>
          <w:trHeight w:val="243"/>
        </w:trPr>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0</w:t>
            </w:r>
          </w:p>
        </w:tc>
      </w:tr>
      <w:tr>
        <w:trPr>
          <w:trHeight w:val="243"/>
        </w:trPr>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0</w:t>
            </w:r>
          </w:p>
        </w:tc>
      </w:tr>
      <w:tr>
        <w:trPr>
          <w:trHeight w:val="243"/>
        </w:trPr>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0</w:t>
            </w:r>
          </w:p>
        </w:tc>
      </w:tr>
      <w:tr>
        <w:trPr>
          <w:trHeight w:val="225"/>
        </w:trPr>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0</w:t>
            </w:r>
          </w:p>
        </w:tc>
      </w:tr>
      <w:tr>
        <w:trPr>
          <w:trHeight w:val="261"/>
        </w:trPr>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917,998</w:t>
            </w:r>
          </w:p>
        </w:tc>
        <w:tc>
          <w:tcPr>
            <w:tcW w:w="120" w:type="dxa"/>
            <w:vAlign w:val="bottom"/>
          </w:tcPr>
          <w:p>
            <w:pPr>
              <w:spacing w:after="0"/>
              <w:rPr>
                <w:sz w:val="22"/>
                <w:szCs w:val="22"/>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7.22*</w:t>
            </w: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r>
    </w:tbl>
    <w:p>
      <w:pPr>
        <w:spacing w:after="0" w:line="585" w:lineRule="exact"/>
        <w:rPr>
          <w:sz w:val="20"/>
          <w:szCs w:val="20"/>
          <w:color w:val="auto"/>
        </w:rPr>
      </w:pPr>
    </w:p>
    <w:p>
      <w:pPr>
        <w:sectPr>
          <w:pgSz w:w="11900" w:h="16838" w:orient="portrait"/>
          <w:cols w:equalWidth="0" w:num="2">
            <w:col w:w="5380" w:space="600"/>
            <w:col w:w="5260"/>
          </w:cols>
          <w:pgMar w:left="320" w:top="121" w:right="339" w:bottom="1440" w:gutter="0" w:footer="0" w:header="0"/>
          <w:type w:val="continuous"/>
        </w:sectPr>
      </w:pPr>
    </w:p>
    <w:p>
      <w:pPr>
        <w:spacing w:after="0" w:line="48"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shares purchased were purchased as part of the publicly announced repurchase program.</w:t>
      </w:r>
    </w:p>
    <w:p>
      <w:pPr>
        <w:spacing w:after="0" w:line="225"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buyback program was publicly announced on December 22, 2020. Our board of directors approved an aggregate purchase price of up to $10 million. The buyback program terminated on March 26, 2021. This is the only plan that existed during 2021.</w:t>
      </w:r>
    </w:p>
    <w:p>
      <w:pPr>
        <w:spacing w:after="0" w:line="170"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On February 23, 2022, our board of directors authorized a repurchase plan under which up to $75 million is available to purchase our ordinary shares on the AIM Market. The repurchase plan commenced on March 1, 2022 and will continue until either September 1, 2022, or until it has been completed. All share repurchases will be made in accordance with all applicable securities laws and regulations.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16.F. CHANGE IN REGISTRANT’S CERTIFYING ACCOUNTANT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16.G. CORPORATE GOVERNANCE</w:t>
      </w:r>
    </w:p>
    <w:p>
      <w:pPr>
        <w:spacing w:after="0" w:line="22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 xml:space="preserve">As a foreign private issuer, we are permitted to comply with Israeli corporate governance practices instead of the NASDAQ Stock Market requirements,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we disclose those NASDAQ Stock Market requirements with which we do not comply and the equivalent Israeli requirement that we follow instead.</w:t>
      </w:r>
    </w:p>
    <w:p>
      <w:pPr>
        <w:spacing w:after="0" w:line="184" w:lineRule="exact"/>
        <w:rPr>
          <w:sz w:val="20"/>
          <w:szCs w:val="20"/>
          <w:color w:val="auto"/>
        </w:rPr>
      </w:pPr>
    </w:p>
    <w:p>
      <w:pPr>
        <w:jc w:val="both"/>
        <w:ind w:firstLine="441"/>
        <w:spacing w:after="0" w:line="245" w:lineRule="auto"/>
        <w:rPr>
          <w:sz w:val="20"/>
          <w:szCs w:val="20"/>
          <w:color w:val="auto"/>
        </w:rPr>
      </w:pPr>
      <w:r>
        <w:rPr>
          <w:rFonts w:ascii="Arial" w:cs="Arial" w:eastAsia="Arial" w:hAnsi="Arial"/>
          <w:sz w:val="17"/>
          <w:szCs w:val="17"/>
          <w:color w:val="auto"/>
        </w:rPr>
        <w:t>We rely on this “foreign private issuer exemption” with respect to the quorum requirement for shareholder meetings. As permitted under the Companies Law, pursuant to our amended and restated articles of association, the quorum required for an ordinary meeting of shareholders consists of at least two shareholders present in person, by proxy or by other voting instrument in accordance with the Companies Law who hold at least 25% of the voting power of our shares (and if the meeting is adjourned for a lack of quorum, the quorum for such adjourned meeting will be, subject to certain exceptions, any number of shareholders), instead of 33</w:t>
      </w:r>
      <w:r>
        <w:rPr>
          <w:rFonts w:ascii="Arial" w:cs="Arial" w:eastAsia="Arial" w:hAnsi="Arial"/>
          <w:sz w:val="28"/>
          <w:szCs w:val="28"/>
          <w:color w:val="auto"/>
          <w:vertAlign w:val="superscript"/>
        </w:rPr>
        <w:t>1/3</w:t>
      </w:r>
      <w:r>
        <w:rPr>
          <w:rFonts w:ascii="Arial" w:cs="Arial" w:eastAsia="Arial" w:hAnsi="Arial"/>
          <w:sz w:val="17"/>
          <w:szCs w:val="17"/>
          <w:color w:val="auto"/>
        </w:rPr>
        <w:t>% of the issued share capital as required under the corporate governance rules of Nasdaq. We otherwise comply with the rules generally applicable to U.S. domestic companies listed on Nasdaq. We may, however, in the future decide to use the “foreign private issuer exemption” and opt out of some or all of the other corporate governance rules.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Item 6.C Board Practices.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16.H. MINE SAFETY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16.I. DISCLOSURE REGARDING FOREIGN JURISDICTIONS THAT PREVENT INSPECTIONS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FINANCIAL STATEMENTS</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We have provided the financial statement information required by this Item 17 in, and pursuant to Item 18, such disclosure which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 FINANCIAL STATEMENTS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Please refer to pages F-1 through F-56 of this Form 20-F.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ITEM 19. 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exhibit index incorporated herein by reference.</w:t>
      </w:r>
    </w:p>
    <w:p>
      <w:pPr>
        <w:spacing w:after="0" w:line="262"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0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3"/>
              </w:rPr>
              <w:t>Exhibit No.</w:t>
            </w:r>
          </w:p>
        </w:tc>
        <w:tc>
          <w:tcPr>
            <w:tcW w:w="1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380" w:type="dxa"/>
            <w:vAlign w:val="bottom"/>
            <w:gridSpan w:val="18"/>
          </w:tcPr>
          <w:p>
            <w:pPr>
              <w:ind w:left="1940"/>
              <w:spacing w:after="0"/>
              <w:rPr>
                <w:sz w:val="20"/>
                <w:szCs w:val="20"/>
                <w:color w:val="auto"/>
              </w:rPr>
            </w:pPr>
            <w:r>
              <w:rPr>
                <w:rFonts w:ascii="Arial" w:cs="Arial" w:eastAsia="Arial" w:hAnsi="Arial"/>
                <w:sz w:val="18"/>
                <w:szCs w:val="18"/>
                <w:b w:val="1"/>
                <w:bCs w:val="1"/>
                <w:color w:val="auto"/>
              </w:rPr>
              <w:t>Description</w:t>
            </w:r>
          </w:p>
        </w:tc>
      </w:tr>
      <w:tr>
        <w:trPr>
          <w:trHeight w:val="257"/>
        </w:trPr>
        <w:tc>
          <w:tcPr>
            <w:tcW w:w="320" w:type="dxa"/>
            <w:vAlign w:val="bottom"/>
            <w:gridSpan w:val="2"/>
          </w:tcPr>
          <w:p>
            <w:pPr>
              <w:spacing w:after="0"/>
              <w:rPr>
                <w:sz w:val="22"/>
                <w:szCs w:val="22"/>
                <w:color w:val="auto"/>
              </w:rPr>
            </w:pPr>
          </w:p>
        </w:tc>
        <w:tc>
          <w:tcPr>
            <w:tcW w:w="220" w:type="dxa"/>
            <w:vAlign w:val="bottom"/>
            <w:tcBorders>
              <w:bottom w:val="single" w:sz="8" w:color="0000EE"/>
            </w:tcBorders>
          </w:tcPr>
          <w:p>
            <w:pPr>
              <w:jc w:val="center"/>
              <w:spacing w:after="0"/>
              <w:rPr>
                <w:rFonts w:ascii="Arial" w:cs="Arial" w:eastAsia="Arial" w:hAnsi="Arial"/>
                <w:sz w:val="18"/>
                <w:szCs w:val="18"/>
                <w:color w:val="0000EE"/>
                <w:w w:val="87"/>
              </w:rPr>
            </w:pPr>
            <w:hyperlink r:id="rId146">
              <w:r>
                <w:rPr>
                  <w:rFonts w:ascii="Arial" w:cs="Arial" w:eastAsia="Arial" w:hAnsi="Arial"/>
                  <w:sz w:val="18"/>
                  <w:szCs w:val="18"/>
                  <w:color w:val="0000EE"/>
                  <w:w w:val="87"/>
                </w:rPr>
                <w:t>1.</w:t>
              </w:r>
              <w:r>
                <w:rPr>
                  <w:rFonts w:ascii="Arial" w:cs="Arial" w:eastAsia="Arial" w:hAnsi="Arial"/>
                  <w:sz w:val="18"/>
                  <w:szCs w:val="18"/>
                  <w:u w:val="single" w:color="auto"/>
                  <w:color w:val="0000EE"/>
                  <w:w w:val="87"/>
                </w:rPr>
                <w:t>1</w:t>
              </w:r>
            </w:hyperlink>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60" w:type="dxa"/>
            <w:vAlign w:val="bottom"/>
            <w:tcBorders>
              <w:bottom w:val="single" w:sz="8" w:color="0000EE"/>
            </w:tcBorders>
            <w:gridSpan w:val="18"/>
          </w:tcPr>
          <w:p>
            <w:pPr>
              <w:spacing w:after="0"/>
              <w:rPr>
                <w:rFonts w:ascii="Arial" w:cs="Arial" w:eastAsia="Arial" w:hAnsi="Arial"/>
                <w:sz w:val="18"/>
                <w:szCs w:val="18"/>
                <w:color w:val="0000EE"/>
                <w:w w:val="91"/>
              </w:rPr>
            </w:pPr>
            <w:hyperlink r:id="rId146">
              <w:r>
                <w:rPr>
                  <w:rFonts w:ascii="Arial" w:cs="Arial" w:eastAsia="Arial" w:hAnsi="Arial"/>
                  <w:sz w:val="18"/>
                  <w:szCs w:val="18"/>
                  <w:color w:val="0000EE"/>
                  <w:w w:val="91"/>
                </w:rPr>
                <w:t>Articles of Association of the Registrant (incorporated herein by reference to Exhibit 3.2 to the Registrant’s Registration Statement on</w:t>
              </w:r>
            </w:hyperlink>
          </w:p>
        </w:tc>
        <w:tc>
          <w:tcPr>
            <w:tcW w:w="340" w:type="dxa"/>
            <w:vAlign w:val="bottom"/>
            <w:gridSpan w:val="4"/>
          </w:tcPr>
          <w:p>
            <w:pPr>
              <w:spacing w:after="0"/>
              <w:rPr>
                <w:sz w:val="22"/>
                <w:szCs w:val="22"/>
                <w:color w:val="auto"/>
              </w:rPr>
            </w:pPr>
          </w:p>
        </w:tc>
      </w:tr>
      <w:tr>
        <w:trPr>
          <w:trHeight w:val="196"/>
        </w:trPr>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Amendment No. 1 to Form F-1 (File No. 333-256452), filed with the SEC on June 4, 2021).</w:t>
              </w:r>
            </w:hyperlink>
          </w:p>
        </w:tc>
        <w:tc>
          <w:tcPr>
            <w:tcW w:w="3360" w:type="dxa"/>
            <w:vAlign w:val="bottom"/>
            <w:gridSpan w:val="14"/>
          </w:tcPr>
          <w:p>
            <w:pPr>
              <w:spacing w:after="0"/>
              <w:rPr>
                <w:sz w:val="17"/>
                <w:szCs w:val="17"/>
                <w:color w:val="auto"/>
              </w:rPr>
            </w:pPr>
          </w:p>
        </w:tc>
      </w:tr>
      <w:tr>
        <w:trPr>
          <w:trHeight w:val="277"/>
        </w:trPr>
        <w:tc>
          <w:tcPr>
            <w:tcW w:w="320" w:type="dxa"/>
            <w:vAlign w:val="bottom"/>
            <w:gridSpan w:val="2"/>
          </w:tcPr>
          <w:p>
            <w:pPr>
              <w:spacing w:after="0"/>
              <w:rPr>
                <w:sz w:val="24"/>
                <w:szCs w:val="24"/>
                <w:color w:val="auto"/>
              </w:rPr>
            </w:pPr>
          </w:p>
        </w:tc>
        <w:tc>
          <w:tcPr>
            <w:tcW w:w="220" w:type="dxa"/>
            <w:vAlign w:val="bottom"/>
          </w:tcPr>
          <w:p>
            <w:pPr>
              <w:jc w:val="center"/>
              <w:spacing w:after="0"/>
              <w:rPr>
                <w:rFonts w:ascii="Arial" w:cs="Arial" w:eastAsia="Arial" w:hAnsi="Arial"/>
                <w:sz w:val="18"/>
                <w:szCs w:val="18"/>
                <w:color w:val="0000EE"/>
                <w:w w:val="87"/>
              </w:rPr>
            </w:pPr>
            <w:hyperlink w:anchor="page174">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0" w:type="dxa"/>
            <w:vAlign w:val="bottom"/>
            <w:gridSpan w:val="22"/>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Description of Registered Securities</w:t>
              </w:r>
            </w:hyperlink>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20" w:type="dxa"/>
            <w:vAlign w:val="bottom"/>
            <w:gridSpan w:val="2"/>
          </w:tcPr>
          <w:p>
            <w:pPr>
              <w:spacing w:after="0"/>
              <w:rPr>
                <w:sz w:val="24"/>
                <w:szCs w:val="24"/>
                <w:color w:val="auto"/>
              </w:rPr>
            </w:pPr>
          </w:p>
        </w:tc>
        <w:tc>
          <w:tcPr>
            <w:tcW w:w="220" w:type="dxa"/>
            <w:vAlign w:val="bottom"/>
            <w:tcBorders>
              <w:bottom w:val="single" w:sz="8" w:color="0000EE"/>
            </w:tcBorders>
          </w:tcPr>
          <w:p>
            <w:pPr>
              <w:jc w:val="center"/>
              <w:spacing w:after="0"/>
              <w:rPr>
                <w:rFonts w:ascii="Arial" w:cs="Arial" w:eastAsia="Arial" w:hAnsi="Arial"/>
                <w:sz w:val="18"/>
                <w:szCs w:val="18"/>
                <w:color w:val="0000EE"/>
                <w:w w:val="87"/>
              </w:rPr>
            </w:pPr>
            <w:hyperlink r:id="rId147">
              <w:r>
                <w:rPr>
                  <w:rFonts w:ascii="Arial" w:cs="Arial" w:eastAsia="Arial" w:hAnsi="Arial"/>
                  <w:sz w:val="18"/>
                  <w:szCs w:val="18"/>
                  <w:color w:val="0000EE"/>
                  <w:w w:val="87"/>
                </w:rPr>
                <w:t>2.</w:t>
              </w:r>
              <w:r>
                <w:rPr>
                  <w:rFonts w:ascii="Arial" w:cs="Arial" w:eastAsia="Arial" w:hAnsi="Arial"/>
                  <w:sz w:val="18"/>
                  <w:szCs w:val="18"/>
                  <w:u w:val="single" w:color="auto"/>
                  <w:color w:val="0000EE"/>
                  <w:w w:val="87"/>
                </w:rPr>
                <w:t>2</w:t>
              </w:r>
            </w:hyperlink>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20" w:type="dxa"/>
            <w:vAlign w:val="bottom"/>
            <w:tcBorders>
              <w:bottom w:val="single" w:sz="8" w:color="0000EE"/>
            </w:tcBorders>
            <w:gridSpan w:val="16"/>
          </w:tcPr>
          <w:p>
            <w:pPr>
              <w:spacing w:after="0"/>
              <w:rPr>
                <w:rFonts w:ascii="Arial" w:cs="Arial" w:eastAsia="Arial" w:hAnsi="Arial"/>
                <w:sz w:val="18"/>
                <w:szCs w:val="18"/>
                <w:color w:val="0000EE"/>
                <w:w w:val="91"/>
              </w:rPr>
            </w:pPr>
            <w:hyperlink r:id="rId147">
              <w:r>
                <w:rPr>
                  <w:rFonts w:ascii="Arial" w:cs="Arial" w:eastAsia="Arial" w:hAnsi="Arial"/>
                  <w:sz w:val="18"/>
                  <w:szCs w:val="18"/>
                  <w:color w:val="0000EE"/>
                  <w:w w:val="91"/>
                </w:rPr>
                <w:t>Form of Deposit Agreement Description of Registered Securities (incorporated herein by reference to Exhibit 4.1 to the Registrant’s</w:t>
              </w:r>
            </w:hyperlink>
          </w:p>
        </w:tc>
        <w:tc>
          <w:tcPr>
            <w:tcW w:w="480" w:type="dxa"/>
            <w:vAlign w:val="bottom"/>
            <w:gridSpan w:val="6"/>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Registration Statement on Amendment No. 2 to Form F-1 (File No. 333-256452), filed with the SEC on June 14, 2021).</w:t>
              </w:r>
            </w:hyperlink>
          </w:p>
        </w:tc>
        <w:tc>
          <w:tcPr>
            <w:tcW w:w="1360" w:type="dxa"/>
            <w:vAlign w:val="bottom"/>
            <w:gridSpan w:val="11"/>
          </w:tcPr>
          <w:p>
            <w:pPr>
              <w:spacing w:after="0"/>
              <w:rPr>
                <w:sz w:val="17"/>
                <w:szCs w:val="17"/>
                <w:color w:val="auto"/>
              </w:rPr>
            </w:pPr>
          </w:p>
        </w:tc>
      </w:tr>
      <w:tr>
        <w:trPr>
          <w:trHeight w:val="277"/>
        </w:trPr>
        <w:tc>
          <w:tcPr>
            <w:tcW w:w="320" w:type="dxa"/>
            <w:vAlign w:val="bottom"/>
            <w:gridSpan w:val="2"/>
          </w:tcPr>
          <w:p>
            <w:pPr>
              <w:spacing w:after="0"/>
              <w:rPr>
                <w:sz w:val="24"/>
                <w:szCs w:val="24"/>
                <w:color w:val="auto"/>
              </w:rPr>
            </w:pPr>
          </w:p>
        </w:tc>
        <w:tc>
          <w:tcPr>
            <w:tcW w:w="220" w:type="dxa"/>
            <w:vAlign w:val="bottom"/>
          </w:tcPr>
          <w:p>
            <w:pPr>
              <w:jc w:val="center"/>
              <w:spacing w:after="0"/>
              <w:rPr>
                <w:rFonts w:ascii="Arial" w:cs="Arial" w:eastAsia="Arial" w:hAnsi="Arial"/>
                <w:sz w:val="18"/>
                <w:szCs w:val="18"/>
                <w:color w:val="0000EE"/>
                <w:w w:val="87"/>
              </w:rPr>
            </w:pPr>
            <w:hyperlink r:id="rId147">
              <w:r>
                <w:rPr>
                  <w:rFonts w:ascii="Arial" w:cs="Arial" w:eastAsia="Arial" w:hAnsi="Arial"/>
                  <w:sz w:val="18"/>
                  <w:szCs w:val="18"/>
                  <w:color w:val="0000EE"/>
                  <w:w w:val="87"/>
                </w:rPr>
                <w:t>2.</w:t>
              </w:r>
              <w:r>
                <w:rPr>
                  <w:rFonts w:ascii="Arial" w:cs="Arial" w:eastAsia="Arial" w:hAnsi="Arial"/>
                  <w:sz w:val="18"/>
                  <w:szCs w:val="18"/>
                  <w:u w:val="single" w:color="auto"/>
                  <w:color w:val="0000EE"/>
                  <w:w w:val="87"/>
                </w:rPr>
                <w:t>3</w:t>
              </w:r>
            </w:hyperlink>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0" w:type="dxa"/>
            <w:vAlign w:val="bottom"/>
            <w:gridSpan w:val="22"/>
          </w:tcPr>
          <w:p>
            <w:pPr>
              <w:spacing w:after="0"/>
              <w:rPr>
                <w:rFonts w:ascii="Arial" w:cs="Arial" w:eastAsia="Arial" w:hAnsi="Arial"/>
                <w:sz w:val="18"/>
                <w:szCs w:val="18"/>
                <w:color w:val="0000EE"/>
              </w:rPr>
            </w:pPr>
            <w:hyperlink r:id="rId147">
              <w:r>
                <w:rPr>
                  <w:rFonts w:ascii="Arial" w:cs="Arial" w:eastAsia="Arial" w:hAnsi="Arial"/>
                  <w:sz w:val="18"/>
                  <w:szCs w:val="18"/>
                  <w:color w:val="0000EE"/>
                </w:rPr>
                <w:t>Form of American Depositary Receipt (included in Exhibit 2.2).</w:t>
              </w:r>
            </w:hyperlink>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20" w:type="dxa"/>
            <w:vAlign w:val="bottom"/>
            <w:gridSpan w:val="2"/>
          </w:tcPr>
          <w:p>
            <w:pPr>
              <w:spacing w:after="0"/>
              <w:rPr>
                <w:sz w:val="24"/>
                <w:szCs w:val="24"/>
                <w:color w:val="auto"/>
              </w:rPr>
            </w:pPr>
          </w:p>
        </w:tc>
        <w:tc>
          <w:tcPr>
            <w:tcW w:w="220" w:type="dxa"/>
            <w:vAlign w:val="bottom"/>
          </w:tcPr>
          <w:p>
            <w:pPr>
              <w:jc w:val="center"/>
              <w:spacing w:after="0"/>
              <w:rPr>
                <w:rFonts w:ascii="Arial" w:cs="Arial" w:eastAsia="Arial" w:hAnsi="Arial"/>
                <w:sz w:val="18"/>
                <w:szCs w:val="18"/>
                <w:color w:val="0000EE"/>
                <w:w w:val="87"/>
              </w:rPr>
            </w:pPr>
            <w:hyperlink r:id="rId14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0" w:type="dxa"/>
            <w:vAlign w:val="bottom"/>
            <w:gridSpan w:val="22"/>
          </w:tcPr>
          <w:p>
            <w:pPr>
              <w:spacing w:after="0"/>
              <w:rPr>
                <w:rFonts w:ascii="Arial" w:cs="Arial" w:eastAsia="Arial" w:hAnsi="Arial"/>
                <w:sz w:val="18"/>
                <w:szCs w:val="18"/>
                <w:color w:val="0000EE"/>
                <w:w w:val="96"/>
              </w:rPr>
            </w:pPr>
            <w:hyperlink r:id="rId148">
              <w:r>
                <w:rPr>
                  <w:rFonts w:ascii="Arial" w:cs="Arial" w:eastAsia="Arial" w:hAnsi="Arial"/>
                  <w:sz w:val="18"/>
                  <w:szCs w:val="18"/>
                  <w:color w:val="0000EE"/>
                  <w:w w:val="96"/>
                </w:rPr>
                <w:t>Form of Indemnification Agreement (incorporated herein by reference to Exhibit 10.1 to the Registrant’s Registration Statement on</w:t>
              </w:r>
            </w:hyperlink>
          </w:p>
        </w:tc>
      </w:tr>
      <w:tr>
        <w:trPr>
          <w:trHeight w:val="196"/>
        </w:trPr>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Form F-1 (File No. 333-256452), filed with the SEC on May 25, 2021).</w:t>
              </w:r>
            </w:hyperlink>
          </w:p>
        </w:tc>
        <w:tc>
          <w:tcPr>
            <w:tcW w:w="540" w:type="dxa"/>
            <w:vAlign w:val="bottom"/>
            <w:gridSpan w:val="8"/>
          </w:tcPr>
          <w:p>
            <w:pPr>
              <w:spacing w:after="0"/>
              <w:rPr>
                <w:sz w:val="17"/>
                <w:szCs w:val="17"/>
                <w:color w:val="auto"/>
              </w:rPr>
            </w:pPr>
          </w:p>
        </w:tc>
      </w:tr>
      <w:tr>
        <w:trPr>
          <w:trHeight w:val="20"/>
        </w:trPr>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20" w:type="dxa"/>
            <w:vAlign w:val="bottom"/>
            <w:gridSpan w:val="2"/>
          </w:tcPr>
          <w:p>
            <w:pPr>
              <w:spacing w:after="0"/>
              <w:rPr>
                <w:sz w:val="24"/>
                <w:szCs w:val="24"/>
                <w:color w:val="auto"/>
              </w:rPr>
            </w:pPr>
          </w:p>
        </w:tc>
        <w:tc>
          <w:tcPr>
            <w:tcW w:w="220" w:type="dxa"/>
            <w:vAlign w:val="bottom"/>
          </w:tcPr>
          <w:p>
            <w:pPr>
              <w:jc w:val="center"/>
              <w:spacing w:after="0"/>
              <w:rPr>
                <w:rFonts w:ascii="Arial" w:cs="Arial" w:eastAsia="Arial" w:hAnsi="Arial"/>
                <w:sz w:val="18"/>
                <w:szCs w:val="18"/>
                <w:color w:val="0000EE"/>
                <w:w w:val="87"/>
              </w:rPr>
            </w:pPr>
            <w:hyperlink r:id="rId14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0" w:type="dxa"/>
            <w:vAlign w:val="bottom"/>
            <w:gridSpan w:val="22"/>
          </w:tcPr>
          <w:p>
            <w:pPr>
              <w:spacing w:after="0"/>
              <w:rPr>
                <w:rFonts w:ascii="Arial" w:cs="Arial" w:eastAsia="Arial" w:hAnsi="Arial"/>
                <w:sz w:val="18"/>
                <w:szCs w:val="18"/>
                <w:color w:val="0000EE"/>
                <w:w w:val="96"/>
              </w:rPr>
            </w:pPr>
            <w:hyperlink r:id="rId149">
              <w:r>
                <w:rPr>
                  <w:rFonts w:ascii="Arial" w:cs="Arial" w:eastAsia="Arial" w:hAnsi="Arial"/>
                  <w:sz w:val="18"/>
                  <w:szCs w:val="18"/>
                  <w:color w:val="0000EE"/>
                  <w:w w:val="96"/>
                </w:rPr>
                <w:t>Global Share Incentive Plan (2011), as amended (incorporated herein by reference to Exhibit 10.2 to the Registrant’s Registration</w:t>
              </w:r>
            </w:hyperlink>
          </w:p>
        </w:tc>
      </w:tr>
      <w:tr>
        <w:trPr>
          <w:trHeight w:val="196"/>
        </w:trPr>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Statement on Form F-1 (File No. 333-256452), filed with the SEC on May 25, 2021).</w:t>
              </w:r>
            </w:hyperlink>
          </w:p>
        </w:tc>
        <w:tc>
          <w:tcPr>
            <w:tcW w:w="680" w:type="dxa"/>
            <w:vAlign w:val="bottom"/>
            <w:gridSpan w:val="10"/>
          </w:tcPr>
          <w:p>
            <w:pPr>
              <w:spacing w:after="0"/>
              <w:rPr>
                <w:sz w:val="17"/>
                <w:szCs w:val="17"/>
                <w:color w:val="auto"/>
              </w:rPr>
            </w:pPr>
          </w:p>
        </w:tc>
      </w:tr>
      <w:tr>
        <w:trPr>
          <w:trHeight w:val="20"/>
        </w:trPr>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52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20" w:type="dxa"/>
            <w:vAlign w:val="bottom"/>
            <w:gridSpan w:val="2"/>
          </w:tcPr>
          <w:p>
            <w:pPr>
              <w:spacing w:after="0"/>
              <w:rPr>
                <w:sz w:val="24"/>
                <w:szCs w:val="24"/>
                <w:color w:val="auto"/>
              </w:rPr>
            </w:pPr>
          </w:p>
        </w:tc>
        <w:tc>
          <w:tcPr>
            <w:tcW w:w="220" w:type="dxa"/>
            <w:vAlign w:val="bottom"/>
          </w:tcPr>
          <w:p>
            <w:pPr>
              <w:jc w:val="center"/>
              <w:spacing w:after="0"/>
              <w:rPr>
                <w:rFonts w:ascii="Arial" w:cs="Arial" w:eastAsia="Arial" w:hAnsi="Arial"/>
                <w:sz w:val="18"/>
                <w:szCs w:val="18"/>
                <w:color w:val="0000EE"/>
                <w:w w:val="87"/>
              </w:rPr>
            </w:pPr>
            <w:hyperlink r:id="rId15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0" w:type="dxa"/>
            <w:vAlign w:val="bottom"/>
            <w:gridSpan w:val="22"/>
          </w:tcPr>
          <w:p>
            <w:pPr>
              <w:spacing w:after="0"/>
              <w:rPr>
                <w:rFonts w:ascii="Arial" w:cs="Arial" w:eastAsia="Arial" w:hAnsi="Arial"/>
                <w:sz w:val="18"/>
                <w:szCs w:val="18"/>
                <w:color w:val="0000EE"/>
                <w:w w:val="90"/>
              </w:rPr>
            </w:pPr>
            <w:hyperlink r:id="rId150">
              <w:r>
                <w:rPr>
                  <w:rFonts w:ascii="Arial" w:cs="Arial" w:eastAsia="Arial" w:hAnsi="Arial"/>
                  <w:sz w:val="18"/>
                  <w:szCs w:val="18"/>
                  <w:color w:val="0000EE"/>
                  <w:w w:val="90"/>
                </w:rPr>
                <w:t>2017 Equity Share Incentive Plan, as amended (incorporated herein by reference to Exhibit 10.3 to the Registrant’s Registration Statement</w:t>
              </w:r>
            </w:hyperlink>
          </w:p>
        </w:tc>
      </w:tr>
      <w:tr>
        <w:trPr>
          <w:trHeight w:val="196"/>
        </w:trPr>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on Amendment No. 1 to Form F-1 (File No. 333-256452), filed with the SEC on June 4, 2021).</w:t>
              </w:r>
            </w:hyperlink>
          </w:p>
        </w:tc>
        <w:tc>
          <w:tcPr>
            <w:tcW w:w="3100" w:type="dxa"/>
            <w:vAlign w:val="bottom"/>
            <w:tcBorders>
              <w:top w:val="single" w:sz="8" w:color="0000EE"/>
            </w:tcBorders>
            <w:gridSpan w:val="12"/>
          </w:tcPr>
          <w:p>
            <w:pPr>
              <w:spacing w:after="0"/>
              <w:rPr>
                <w:sz w:val="17"/>
                <w:szCs w:val="17"/>
                <w:color w:val="auto"/>
              </w:rPr>
            </w:pPr>
          </w:p>
        </w:tc>
        <w:tc>
          <w:tcPr>
            <w:tcW w:w="40" w:type="dxa"/>
            <w:vAlign w:val="bottom"/>
          </w:tcPr>
          <w:p>
            <w:pPr>
              <w:spacing w:after="0"/>
              <w:rPr>
                <w:sz w:val="17"/>
                <w:szCs w:val="17"/>
                <w:color w:val="auto"/>
              </w:rPr>
            </w:pPr>
          </w:p>
        </w:tc>
      </w:tr>
      <w:tr>
        <w:trPr>
          <w:trHeight w:val="277"/>
        </w:trPr>
        <w:tc>
          <w:tcPr>
            <w:tcW w:w="540" w:type="dxa"/>
            <w:vAlign w:val="bottom"/>
            <w:gridSpan w:val="3"/>
          </w:tcPr>
          <w:p>
            <w:pPr>
              <w:jc w:val="center"/>
              <w:ind w:left="230"/>
              <w:spacing w:after="0"/>
              <w:rPr>
                <w:rFonts w:ascii="Arial" w:cs="Arial" w:eastAsia="Arial" w:hAnsi="Arial"/>
                <w:sz w:val="18"/>
                <w:szCs w:val="18"/>
                <w:color w:val="0000EE"/>
                <w:w w:val="87"/>
              </w:rPr>
            </w:pPr>
            <w:hyperlink r:id="rId15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0" w:type="dxa"/>
            <w:vAlign w:val="bottom"/>
            <w:gridSpan w:val="22"/>
          </w:tcPr>
          <w:p>
            <w:pPr>
              <w:spacing w:after="0"/>
              <w:rPr>
                <w:rFonts w:ascii="Arial" w:cs="Arial" w:eastAsia="Arial" w:hAnsi="Arial"/>
                <w:sz w:val="18"/>
                <w:szCs w:val="18"/>
                <w:color w:val="0000EE"/>
                <w:w w:val="90"/>
              </w:rPr>
            </w:pPr>
            <w:hyperlink r:id="rId151">
              <w:r>
                <w:rPr>
                  <w:rFonts w:ascii="Arial" w:cs="Arial" w:eastAsia="Arial" w:hAnsi="Arial"/>
                  <w:sz w:val="18"/>
                  <w:szCs w:val="18"/>
                  <w:color w:val="0000EE"/>
                  <w:w w:val="90"/>
                </w:rPr>
                <w:t>Remuneration Policy for Directors and Executives Wix.com Ltd. 2013 Employee Stock Purchase Plan (incorporated herein by reference to</w:t>
              </w:r>
            </w:hyperlink>
          </w:p>
        </w:tc>
      </w:tr>
      <w:tr>
        <w:trPr>
          <w:trHeight w:val="196"/>
        </w:trPr>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0" w:type="dxa"/>
            <w:vAlign w:val="bottom"/>
            <w:tcBorders>
              <w:top w:val="single" w:sz="8" w:color="0000EE"/>
            </w:tcBorders>
            <w:gridSpan w:val="22"/>
          </w:tcPr>
          <w:p>
            <w:pPr>
              <w:spacing w:after="0" w:line="196" w:lineRule="exact"/>
              <w:rPr>
                <w:rFonts w:ascii="Arial" w:cs="Arial" w:eastAsia="Arial" w:hAnsi="Arial"/>
                <w:sz w:val="18"/>
                <w:szCs w:val="18"/>
                <w:color w:val="0000EE"/>
                <w:w w:val="97"/>
              </w:rPr>
            </w:pPr>
            <w:hyperlink r:id="rId151">
              <w:r>
                <w:rPr>
                  <w:rFonts w:ascii="Arial" w:cs="Arial" w:eastAsia="Arial" w:hAnsi="Arial"/>
                  <w:sz w:val="18"/>
                  <w:szCs w:val="18"/>
                  <w:color w:val="0000EE"/>
                  <w:w w:val="97"/>
                </w:rPr>
                <w:t>Exhibit 10.4 to the Registrant’s Registration Statement on Form F-1 (File No. 333-256452), filed with the SEC on May 25, 2021).</w:t>
              </w:r>
            </w:hyperlink>
          </w:p>
        </w:tc>
      </w:tr>
      <w:tr>
        <w:trPr>
          <w:trHeight w:val="277"/>
        </w:trPr>
        <w:tc>
          <w:tcPr>
            <w:tcW w:w="320" w:type="dxa"/>
            <w:vAlign w:val="bottom"/>
            <w:gridSpan w:val="2"/>
          </w:tcPr>
          <w:p>
            <w:pPr>
              <w:spacing w:after="0"/>
              <w:rPr>
                <w:sz w:val="24"/>
                <w:szCs w:val="24"/>
                <w:color w:val="auto"/>
              </w:rPr>
            </w:pPr>
          </w:p>
        </w:tc>
        <w:tc>
          <w:tcPr>
            <w:tcW w:w="220" w:type="dxa"/>
            <w:vAlign w:val="bottom"/>
            <w:tcBorders>
              <w:bottom w:val="single" w:sz="8" w:color="0000EE"/>
            </w:tcBorders>
          </w:tcPr>
          <w:p>
            <w:pPr>
              <w:jc w:val="center"/>
              <w:spacing w:after="0"/>
              <w:rPr>
                <w:rFonts w:ascii="Arial" w:cs="Arial" w:eastAsia="Arial" w:hAnsi="Arial"/>
                <w:sz w:val="18"/>
                <w:szCs w:val="18"/>
                <w:color w:val="0000EE"/>
                <w:w w:val="87"/>
              </w:rPr>
            </w:pPr>
            <w:hyperlink w:anchor="page190">
              <w:r>
                <w:rPr>
                  <w:rFonts w:ascii="Arial" w:cs="Arial" w:eastAsia="Arial" w:hAnsi="Arial"/>
                  <w:sz w:val="18"/>
                  <w:szCs w:val="18"/>
                  <w:color w:val="0000EE"/>
                  <w:w w:val="87"/>
                </w:rPr>
                <w:t>8.</w:t>
              </w:r>
              <w:r>
                <w:rPr>
                  <w:rFonts w:ascii="Arial" w:cs="Arial" w:eastAsia="Arial" w:hAnsi="Arial"/>
                  <w:sz w:val="18"/>
                  <w:szCs w:val="18"/>
                  <w:u w:val="single" w:color="auto"/>
                  <w:color w:val="0000EE"/>
                  <w:w w:val="87"/>
                </w:rPr>
                <w:t>1</w:t>
              </w:r>
            </w:hyperlink>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w:anchor="page190">
              <w:r>
                <w:rPr>
                  <w:rFonts w:ascii="Arial" w:cs="Arial" w:eastAsia="Arial" w:hAnsi="Arial"/>
                  <w:sz w:val="18"/>
                  <w:szCs w:val="18"/>
                  <w:color w:val="0000EE"/>
                  <w:w w:val="91"/>
                </w:rPr>
                <w:t>List of subsidiaries of the Registrant</w:t>
              </w:r>
            </w:hyperlink>
          </w:p>
        </w:tc>
        <w:tc>
          <w:tcPr>
            <w:tcW w:w="6740" w:type="dxa"/>
            <w:vAlign w:val="bottom"/>
            <w:tcBorders>
              <w:top w:val="single" w:sz="8" w:color="0000EE"/>
            </w:tcBorders>
            <w:gridSpan w:val="9"/>
          </w:tcPr>
          <w:p>
            <w:pPr>
              <w:spacing w:after="0"/>
              <w:rPr>
                <w:sz w:val="24"/>
                <w:szCs w:val="24"/>
                <w:color w:val="auto"/>
              </w:rPr>
            </w:pPr>
          </w:p>
        </w:tc>
        <w:tc>
          <w:tcPr>
            <w:tcW w:w="640" w:type="dxa"/>
            <w:vAlign w:val="bottom"/>
            <w:gridSpan w:val="9"/>
          </w:tcPr>
          <w:p>
            <w:pPr>
              <w:spacing w:after="0"/>
              <w:rPr>
                <w:sz w:val="24"/>
                <w:szCs w:val="24"/>
                <w:color w:val="auto"/>
              </w:rPr>
            </w:pPr>
          </w:p>
        </w:tc>
      </w:tr>
      <w:tr>
        <w:trPr>
          <w:trHeight w:val="277"/>
        </w:trPr>
        <w:tc>
          <w:tcPr>
            <w:tcW w:w="600" w:type="dxa"/>
            <w:vAlign w:val="bottom"/>
            <w:gridSpan w:val="4"/>
          </w:tcPr>
          <w:p>
            <w:pPr>
              <w:jc w:val="center"/>
              <w:ind w:left="190"/>
              <w:spacing w:after="0"/>
              <w:rPr>
                <w:rFonts w:ascii="Arial" w:cs="Arial" w:eastAsia="Arial" w:hAnsi="Arial"/>
                <w:sz w:val="18"/>
                <w:szCs w:val="18"/>
                <w:color w:val="0000EE"/>
                <w:w w:val="91"/>
              </w:rPr>
            </w:pPr>
            <w:hyperlink w:anchor="page191">
              <w:r>
                <w:rPr>
                  <w:rFonts w:ascii="Arial" w:cs="Arial" w:eastAsia="Arial" w:hAnsi="Arial"/>
                  <w:sz w:val="18"/>
                  <w:szCs w:val="18"/>
                  <w:color w:val="0000EE"/>
                  <w:w w:val="91"/>
                </w:rPr>
                <w:t>12.</w:t>
              </w:r>
              <w:r>
                <w:rPr>
                  <w:rFonts w:ascii="Arial" w:cs="Arial" w:eastAsia="Arial" w:hAnsi="Arial"/>
                  <w:sz w:val="18"/>
                  <w:szCs w:val="18"/>
                  <w:u w:val="single" w:color="auto"/>
                  <w:color w:val="0000EE"/>
                  <w:w w:val="91"/>
                </w:rPr>
                <w:t>1</w:t>
              </w:r>
            </w:hyperlink>
          </w:p>
        </w:tc>
        <w:tc>
          <w:tcPr>
            <w:tcW w:w="440" w:type="dxa"/>
            <w:vAlign w:val="bottom"/>
          </w:tcPr>
          <w:p>
            <w:pPr>
              <w:spacing w:after="0"/>
              <w:rPr>
                <w:sz w:val="24"/>
                <w:szCs w:val="24"/>
                <w:color w:val="auto"/>
              </w:rPr>
            </w:pPr>
          </w:p>
        </w:tc>
        <w:tc>
          <w:tcPr>
            <w:tcW w:w="10000" w:type="dxa"/>
            <w:vAlign w:val="bottom"/>
            <w:gridSpan w:val="22"/>
          </w:tcPr>
          <w:p>
            <w:pPr>
              <w:spacing w:after="0"/>
              <w:rPr>
                <w:rFonts w:ascii="Arial" w:cs="Arial" w:eastAsia="Arial" w:hAnsi="Arial"/>
                <w:sz w:val="18"/>
                <w:szCs w:val="18"/>
                <w:color w:val="0000EE"/>
                <w:w w:val="91"/>
              </w:rPr>
            </w:pPr>
            <w:hyperlink w:anchor="page191">
              <w:r>
                <w:rPr>
                  <w:rFonts w:ascii="Arial" w:cs="Arial" w:eastAsia="Arial" w:hAnsi="Arial"/>
                  <w:sz w:val="18"/>
                  <w:szCs w:val="18"/>
                  <w:color w:val="0000EE"/>
                  <w:w w:val="91"/>
                </w:rPr>
                <w:t>Certificate of Chief Executive Officer pursuant to Securities Exchange Act Rules 13a-14(a) and 15d-14(a) as adopted pursuant to §302 of</w:t>
              </w:r>
            </w:hyperlink>
          </w:p>
        </w:tc>
      </w:tr>
      <w:tr>
        <w:trPr>
          <w:trHeight w:val="196"/>
        </w:trPr>
        <w:tc>
          <w:tcPr>
            <w:tcW w:w="28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99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the Sarbanes-Oxley Act of 2002</w:t>
              </w:r>
            </w:hyperlink>
          </w:p>
        </w:tc>
        <w:tc>
          <w:tcPr>
            <w:tcW w:w="100" w:type="dxa"/>
            <w:vAlign w:val="bottom"/>
            <w:gridSpan w:val="2"/>
          </w:tcPr>
          <w:p>
            <w:pPr>
              <w:spacing w:after="0"/>
              <w:rPr>
                <w:sz w:val="17"/>
                <w:szCs w:val="17"/>
                <w:color w:val="auto"/>
              </w:rPr>
            </w:pPr>
          </w:p>
        </w:tc>
      </w:tr>
      <w:tr>
        <w:trPr>
          <w:trHeight w:val="20"/>
        </w:trPr>
        <w:tc>
          <w:tcPr>
            <w:tcW w:w="2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220" w:type="dxa"/>
            <w:vAlign w:val="bottom"/>
            <w:gridSpan w:val="8"/>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77"/>
        </w:trPr>
        <w:tc>
          <w:tcPr>
            <w:tcW w:w="600" w:type="dxa"/>
            <w:vAlign w:val="bottom"/>
            <w:gridSpan w:val="4"/>
          </w:tcPr>
          <w:p>
            <w:pPr>
              <w:jc w:val="center"/>
              <w:ind w:left="190"/>
              <w:spacing w:after="0"/>
              <w:rPr>
                <w:rFonts w:ascii="Arial" w:cs="Arial" w:eastAsia="Arial" w:hAnsi="Arial"/>
                <w:sz w:val="18"/>
                <w:szCs w:val="18"/>
                <w:color w:val="0000EE"/>
                <w:w w:val="91"/>
              </w:rPr>
            </w:pPr>
            <w:hyperlink w:anchor="page192">
              <w:r>
                <w:rPr>
                  <w:rFonts w:ascii="Arial" w:cs="Arial" w:eastAsia="Arial" w:hAnsi="Arial"/>
                  <w:sz w:val="18"/>
                  <w:szCs w:val="18"/>
                  <w:color w:val="0000EE"/>
                  <w:w w:val="91"/>
                </w:rPr>
                <w:t>12.</w:t>
              </w:r>
              <w:r>
                <w:rPr>
                  <w:rFonts w:ascii="Arial" w:cs="Arial" w:eastAsia="Arial" w:hAnsi="Arial"/>
                  <w:sz w:val="18"/>
                  <w:szCs w:val="18"/>
                  <w:u w:val="single" w:color="auto"/>
                  <w:color w:val="0000EE"/>
                  <w:w w:val="91"/>
                </w:rPr>
                <w:t>2</w:t>
              </w:r>
            </w:hyperlink>
          </w:p>
        </w:tc>
        <w:tc>
          <w:tcPr>
            <w:tcW w:w="440" w:type="dxa"/>
            <w:vAlign w:val="bottom"/>
          </w:tcPr>
          <w:p>
            <w:pPr>
              <w:spacing w:after="0"/>
              <w:rPr>
                <w:sz w:val="24"/>
                <w:szCs w:val="24"/>
                <w:color w:val="auto"/>
              </w:rPr>
            </w:pPr>
          </w:p>
        </w:tc>
        <w:tc>
          <w:tcPr>
            <w:tcW w:w="10000" w:type="dxa"/>
            <w:vAlign w:val="bottom"/>
            <w:gridSpan w:val="22"/>
          </w:tcPr>
          <w:p>
            <w:pPr>
              <w:spacing w:after="0"/>
              <w:rPr>
                <w:rFonts w:ascii="Arial" w:cs="Arial" w:eastAsia="Arial" w:hAnsi="Arial"/>
                <w:sz w:val="18"/>
                <w:szCs w:val="18"/>
                <w:color w:val="0000EE"/>
                <w:w w:val="92"/>
              </w:rPr>
            </w:pPr>
            <w:hyperlink w:anchor="page192">
              <w:r>
                <w:rPr>
                  <w:rFonts w:ascii="Arial" w:cs="Arial" w:eastAsia="Arial" w:hAnsi="Arial"/>
                  <w:sz w:val="18"/>
                  <w:szCs w:val="18"/>
                  <w:color w:val="0000EE"/>
                  <w:w w:val="92"/>
                </w:rPr>
                <w:t>Certificate of Chief Financial Officer pursuant to Securities Exchange Act Rules 13a-14(a) and 15d-14(a) as adopted pursuant to §302 of</w:t>
              </w:r>
            </w:hyperlink>
          </w:p>
        </w:tc>
      </w:tr>
      <w:tr>
        <w:trPr>
          <w:trHeight w:val="196"/>
        </w:trPr>
        <w:tc>
          <w:tcPr>
            <w:tcW w:w="28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98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the Sarbanes-Oxley Act of 2002</w:t>
              </w:r>
            </w:hyperlink>
          </w:p>
        </w:tc>
        <w:tc>
          <w:tcPr>
            <w:tcW w:w="140" w:type="dxa"/>
            <w:vAlign w:val="bottom"/>
            <w:gridSpan w:val="3"/>
          </w:tcPr>
          <w:p>
            <w:pPr>
              <w:spacing w:after="0"/>
              <w:rPr>
                <w:sz w:val="17"/>
                <w:szCs w:val="17"/>
                <w:color w:val="auto"/>
              </w:rPr>
            </w:pPr>
          </w:p>
        </w:tc>
      </w:tr>
      <w:tr>
        <w:trPr>
          <w:trHeight w:val="20"/>
        </w:trPr>
        <w:tc>
          <w:tcPr>
            <w:tcW w:w="2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220" w:type="dxa"/>
            <w:vAlign w:val="bottom"/>
            <w:gridSpan w:val="8"/>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r>
      <w:tr>
        <w:trPr>
          <w:trHeight w:val="277"/>
        </w:trPr>
        <w:tc>
          <w:tcPr>
            <w:tcW w:w="600" w:type="dxa"/>
            <w:vAlign w:val="bottom"/>
            <w:gridSpan w:val="4"/>
          </w:tcPr>
          <w:p>
            <w:pPr>
              <w:jc w:val="center"/>
              <w:ind w:left="190"/>
              <w:spacing w:after="0"/>
              <w:rPr>
                <w:rFonts w:ascii="Arial" w:cs="Arial" w:eastAsia="Arial" w:hAnsi="Arial"/>
                <w:sz w:val="18"/>
                <w:szCs w:val="18"/>
                <w:color w:val="0000EE"/>
                <w:w w:val="91"/>
              </w:rPr>
            </w:pPr>
            <w:hyperlink w:anchor="page193">
              <w:r>
                <w:rPr>
                  <w:rFonts w:ascii="Arial" w:cs="Arial" w:eastAsia="Arial" w:hAnsi="Arial"/>
                  <w:sz w:val="18"/>
                  <w:szCs w:val="18"/>
                  <w:color w:val="0000EE"/>
                  <w:w w:val="91"/>
                </w:rPr>
                <w:t>13.</w:t>
              </w:r>
              <w:r>
                <w:rPr>
                  <w:rFonts w:ascii="Arial" w:cs="Arial" w:eastAsia="Arial" w:hAnsi="Arial"/>
                  <w:sz w:val="18"/>
                  <w:szCs w:val="18"/>
                  <w:u w:val="single" w:color="auto"/>
                  <w:color w:val="0000EE"/>
                  <w:w w:val="91"/>
                </w:rPr>
                <w:t>1</w:t>
              </w:r>
            </w:hyperlink>
          </w:p>
        </w:tc>
        <w:tc>
          <w:tcPr>
            <w:tcW w:w="440" w:type="dxa"/>
            <w:vAlign w:val="bottom"/>
          </w:tcPr>
          <w:p>
            <w:pPr>
              <w:spacing w:after="0"/>
              <w:rPr>
                <w:sz w:val="24"/>
                <w:szCs w:val="24"/>
                <w:color w:val="auto"/>
              </w:rPr>
            </w:pPr>
          </w:p>
        </w:tc>
        <w:tc>
          <w:tcPr>
            <w:tcW w:w="10000" w:type="dxa"/>
            <w:vAlign w:val="bottom"/>
            <w:gridSpan w:val="22"/>
          </w:tcPr>
          <w:p>
            <w:pPr>
              <w:spacing w:after="0"/>
              <w:rPr>
                <w:rFonts w:ascii="Arial" w:cs="Arial" w:eastAsia="Arial" w:hAnsi="Arial"/>
                <w:sz w:val="18"/>
                <w:szCs w:val="18"/>
                <w:color w:val="0000EE"/>
                <w:w w:val="95"/>
              </w:rPr>
            </w:pPr>
            <w:hyperlink w:anchor="page193">
              <w:r>
                <w:rPr>
                  <w:rFonts w:ascii="Arial" w:cs="Arial" w:eastAsia="Arial" w:hAnsi="Arial"/>
                  <w:sz w:val="18"/>
                  <w:szCs w:val="18"/>
                  <w:color w:val="0000EE"/>
                  <w:w w:val="95"/>
                </w:rPr>
                <w:t>Certificate of Chief Executive Officer pursuant to 18 U.S.C. §1350, as adopted pursuant to §906 of the Sarbanes-Oxley Act of 2002,</w:t>
              </w:r>
            </w:hyperlink>
          </w:p>
        </w:tc>
      </w:tr>
      <w:tr>
        <w:trPr>
          <w:trHeight w:val="196"/>
        </w:trPr>
        <w:tc>
          <w:tcPr>
            <w:tcW w:w="28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193">
              <w:r>
                <w:rPr>
                  <w:rFonts w:ascii="Arial" w:cs="Arial" w:eastAsia="Arial" w:hAnsi="Arial"/>
                  <w:sz w:val="18"/>
                  <w:szCs w:val="18"/>
                  <w:color w:val="0000EE"/>
                  <w:w w:val="91"/>
                </w:rPr>
                <w:t>furnished herewith</w:t>
              </w:r>
            </w:hyperlink>
          </w:p>
        </w:tc>
        <w:tc>
          <w:tcPr>
            <w:tcW w:w="8180" w:type="dxa"/>
            <w:vAlign w:val="bottom"/>
            <w:tcBorders>
              <w:top w:val="single" w:sz="8" w:color="0000EE"/>
            </w:tcBorders>
            <w:gridSpan w:val="16"/>
          </w:tcPr>
          <w:p>
            <w:pPr>
              <w:spacing w:after="0"/>
              <w:rPr>
                <w:sz w:val="17"/>
                <w:szCs w:val="17"/>
                <w:color w:val="auto"/>
              </w:rPr>
            </w:pPr>
          </w:p>
        </w:tc>
        <w:tc>
          <w:tcPr>
            <w:tcW w:w="460" w:type="dxa"/>
            <w:vAlign w:val="bottom"/>
            <w:gridSpan w:val="5"/>
          </w:tcPr>
          <w:p>
            <w:pPr>
              <w:spacing w:after="0"/>
              <w:rPr>
                <w:sz w:val="17"/>
                <w:szCs w:val="17"/>
                <w:color w:val="auto"/>
              </w:rPr>
            </w:pPr>
          </w:p>
        </w:tc>
      </w:tr>
      <w:tr>
        <w:trPr>
          <w:trHeight w:val="277"/>
        </w:trPr>
        <w:tc>
          <w:tcPr>
            <w:tcW w:w="600" w:type="dxa"/>
            <w:vAlign w:val="bottom"/>
            <w:gridSpan w:val="4"/>
          </w:tcPr>
          <w:p>
            <w:pPr>
              <w:jc w:val="center"/>
              <w:ind w:left="190"/>
              <w:spacing w:after="0"/>
              <w:rPr>
                <w:rFonts w:ascii="Arial" w:cs="Arial" w:eastAsia="Arial" w:hAnsi="Arial"/>
                <w:sz w:val="18"/>
                <w:szCs w:val="18"/>
                <w:color w:val="0000EE"/>
                <w:w w:val="91"/>
              </w:rPr>
            </w:pPr>
            <w:hyperlink w:anchor="page194">
              <w:r>
                <w:rPr>
                  <w:rFonts w:ascii="Arial" w:cs="Arial" w:eastAsia="Arial" w:hAnsi="Arial"/>
                  <w:sz w:val="18"/>
                  <w:szCs w:val="18"/>
                  <w:color w:val="0000EE"/>
                  <w:w w:val="91"/>
                </w:rPr>
                <w:t>13.</w:t>
              </w:r>
              <w:r>
                <w:rPr>
                  <w:rFonts w:ascii="Arial" w:cs="Arial" w:eastAsia="Arial" w:hAnsi="Arial"/>
                  <w:sz w:val="18"/>
                  <w:szCs w:val="18"/>
                  <w:u w:val="single" w:color="auto"/>
                  <w:color w:val="0000EE"/>
                  <w:w w:val="91"/>
                </w:rPr>
                <w:t>2</w:t>
              </w:r>
            </w:hyperlink>
          </w:p>
        </w:tc>
        <w:tc>
          <w:tcPr>
            <w:tcW w:w="440" w:type="dxa"/>
            <w:vAlign w:val="bottom"/>
          </w:tcPr>
          <w:p>
            <w:pPr>
              <w:spacing w:after="0"/>
              <w:rPr>
                <w:sz w:val="24"/>
                <w:szCs w:val="24"/>
                <w:color w:val="auto"/>
              </w:rPr>
            </w:pPr>
          </w:p>
        </w:tc>
        <w:tc>
          <w:tcPr>
            <w:tcW w:w="10000" w:type="dxa"/>
            <w:vAlign w:val="bottom"/>
            <w:gridSpan w:val="22"/>
          </w:tcPr>
          <w:p>
            <w:pPr>
              <w:spacing w:after="0"/>
              <w:rPr>
                <w:rFonts w:ascii="Arial" w:cs="Arial" w:eastAsia="Arial" w:hAnsi="Arial"/>
                <w:sz w:val="18"/>
                <w:szCs w:val="18"/>
                <w:color w:val="0000EE"/>
                <w:w w:val="95"/>
              </w:rPr>
            </w:pPr>
            <w:hyperlink w:anchor="page194">
              <w:r>
                <w:rPr>
                  <w:rFonts w:ascii="Arial" w:cs="Arial" w:eastAsia="Arial" w:hAnsi="Arial"/>
                  <w:sz w:val="18"/>
                  <w:szCs w:val="18"/>
                  <w:color w:val="0000EE"/>
                  <w:w w:val="95"/>
                </w:rPr>
                <w:t>Certificate of Chief Financial Officer pursuant to 18 U.S.C. §1350, as adopted pursuant to §906 of the Sarbanes-Oxley Act of 2002,</w:t>
              </w:r>
            </w:hyperlink>
          </w:p>
        </w:tc>
      </w:tr>
      <w:tr>
        <w:trPr>
          <w:trHeight w:val="196"/>
        </w:trPr>
        <w:tc>
          <w:tcPr>
            <w:tcW w:w="28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194">
              <w:r>
                <w:rPr>
                  <w:rFonts w:ascii="Arial" w:cs="Arial" w:eastAsia="Arial" w:hAnsi="Arial"/>
                  <w:sz w:val="18"/>
                  <w:szCs w:val="18"/>
                  <w:color w:val="0000EE"/>
                  <w:w w:val="91"/>
                </w:rPr>
                <w:t>furnished herewith</w:t>
              </w:r>
            </w:hyperlink>
          </w:p>
        </w:tc>
        <w:tc>
          <w:tcPr>
            <w:tcW w:w="8120" w:type="dxa"/>
            <w:vAlign w:val="bottom"/>
            <w:tcBorders>
              <w:top w:val="single" w:sz="8" w:color="0000EE"/>
            </w:tcBorders>
            <w:gridSpan w:val="14"/>
          </w:tcPr>
          <w:p>
            <w:pPr>
              <w:spacing w:after="0"/>
              <w:rPr>
                <w:sz w:val="17"/>
                <w:szCs w:val="17"/>
                <w:color w:val="auto"/>
              </w:rPr>
            </w:pPr>
          </w:p>
        </w:tc>
        <w:tc>
          <w:tcPr>
            <w:tcW w:w="520" w:type="dxa"/>
            <w:vAlign w:val="bottom"/>
            <w:gridSpan w:val="7"/>
          </w:tcPr>
          <w:p>
            <w:pPr>
              <w:spacing w:after="0"/>
              <w:rPr>
                <w:sz w:val="17"/>
                <w:szCs w:val="17"/>
                <w:color w:val="auto"/>
              </w:rPr>
            </w:pPr>
          </w:p>
        </w:tc>
      </w:tr>
      <w:tr>
        <w:trPr>
          <w:trHeight w:val="277"/>
        </w:trPr>
        <w:tc>
          <w:tcPr>
            <w:tcW w:w="600" w:type="dxa"/>
            <w:vAlign w:val="bottom"/>
            <w:gridSpan w:val="4"/>
          </w:tcPr>
          <w:p>
            <w:pPr>
              <w:jc w:val="center"/>
              <w:ind w:left="190"/>
              <w:spacing w:after="0"/>
              <w:rPr>
                <w:rFonts w:ascii="Arial" w:cs="Arial" w:eastAsia="Arial" w:hAnsi="Arial"/>
                <w:sz w:val="18"/>
                <w:szCs w:val="18"/>
                <w:color w:val="0000EE"/>
                <w:w w:val="91"/>
              </w:rPr>
            </w:pPr>
            <w:hyperlink w:anchor="page195">
              <w:r>
                <w:rPr>
                  <w:rFonts w:ascii="Arial" w:cs="Arial" w:eastAsia="Arial" w:hAnsi="Arial"/>
                  <w:sz w:val="18"/>
                  <w:szCs w:val="18"/>
                  <w:color w:val="0000EE"/>
                  <w:w w:val="91"/>
                </w:rPr>
                <w:t>15.</w:t>
              </w:r>
              <w:r>
                <w:rPr>
                  <w:rFonts w:ascii="Arial" w:cs="Arial" w:eastAsia="Arial" w:hAnsi="Arial"/>
                  <w:sz w:val="18"/>
                  <w:szCs w:val="18"/>
                  <w:u w:val="single" w:color="auto"/>
                  <w:color w:val="0000EE"/>
                  <w:w w:val="91"/>
                </w:rPr>
                <w:t>1</w:t>
              </w:r>
            </w:hyperlink>
          </w:p>
        </w:tc>
        <w:tc>
          <w:tcPr>
            <w:tcW w:w="440" w:type="dxa"/>
            <w:vAlign w:val="bottom"/>
          </w:tcPr>
          <w:p>
            <w:pPr>
              <w:spacing w:after="0"/>
              <w:rPr>
                <w:sz w:val="24"/>
                <w:szCs w:val="24"/>
                <w:color w:val="auto"/>
              </w:rPr>
            </w:pPr>
          </w:p>
        </w:tc>
        <w:tc>
          <w:tcPr>
            <w:tcW w:w="10000" w:type="dxa"/>
            <w:vAlign w:val="bottom"/>
            <w:gridSpan w:val="22"/>
          </w:tcPr>
          <w:p>
            <w:pPr>
              <w:spacing w:after="0"/>
              <w:rPr>
                <w:rFonts w:ascii="Arial" w:cs="Arial" w:eastAsia="Arial" w:hAnsi="Arial"/>
                <w:sz w:val="18"/>
                <w:szCs w:val="18"/>
                <w:color w:val="0000EE"/>
              </w:rPr>
            </w:pPr>
            <w:hyperlink w:anchor="page195">
              <w:r>
                <w:rPr>
                  <w:rFonts w:ascii="Arial" w:cs="Arial" w:eastAsia="Arial" w:hAnsi="Arial"/>
                  <w:sz w:val="18"/>
                  <w:szCs w:val="18"/>
                  <w:color w:val="0000EE"/>
                </w:rPr>
                <w:t>Consent of Somekh Chaikin, a member firm of KPMG International, an independent registered public accounting firm</w:t>
              </w:r>
            </w:hyperlink>
          </w:p>
        </w:tc>
      </w:tr>
      <w:tr>
        <w:trPr>
          <w:trHeight w:val="20"/>
        </w:trPr>
        <w:tc>
          <w:tcPr>
            <w:tcW w:w="28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40" w:type="dxa"/>
            <w:vAlign w:val="bottom"/>
            <w:gridSpan w:val="10"/>
            <w:shd w:val="clear" w:color="auto" w:fill="0000EE"/>
          </w:tcPr>
          <w:p>
            <w:pPr>
              <w:spacing w:after="0" w:line="20" w:lineRule="exact"/>
              <w:rPr>
                <w:sz w:val="1"/>
                <w:szCs w:val="1"/>
                <w:color w:val="auto"/>
              </w:rPr>
            </w:pPr>
          </w:p>
        </w:tc>
        <w:tc>
          <w:tcPr>
            <w:tcW w:w="1460" w:type="dxa"/>
            <w:vAlign w:val="bottom"/>
            <w:gridSpan w:val="12"/>
          </w:tcPr>
          <w:p>
            <w:pPr>
              <w:spacing w:after="0" w:line="20" w:lineRule="exact"/>
              <w:rPr>
                <w:sz w:val="1"/>
                <w:szCs w:val="1"/>
                <w:color w:val="auto"/>
              </w:rPr>
            </w:pPr>
          </w:p>
        </w:tc>
      </w:tr>
      <w:tr>
        <w:trPr>
          <w:trHeight w:val="303"/>
        </w:trPr>
        <w:tc>
          <w:tcPr>
            <w:tcW w:w="1040" w:type="dxa"/>
            <w:vAlign w:val="bottom"/>
            <w:gridSpan w:val="5"/>
          </w:tcPr>
          <w:p>
            <w:pPr>
              <w:jc w:val="center"/>
              <w:ind w:right="160"/>
              <w:spacing w:after="0"/>
              <w:rPr>
                <w:sz w:val="20"/>
                <w:szCs w:val="20"/>
                <w:color w:val="auto"/>
              </w:rPr>
            </w:pPr>
            <w:r>
              <w:rPr>
                <w:rFonts w:ascii="Arial" w:cs="Arial" w:eastAsia="Arial" w:hAnsi="Arial"/>
                <w:sz w:val="18"/>
                <w:szCs w:val="18"/>
                <w:color w:val="auto"/>
                <w:w w:val="92"/>
              </w:rPr>
              <w:t>101.INS</w:t>
            </w:r>
          </w:p>
        </w:tc>
        <w:tc>
          <w:tcPr>
            <w:tcW w:w="10000" w:type="dxa"/>
            <w:vAlign w:val="bottom"/>
            <w:gridSpan w:val="22"/>
          </w:tcPr>
          <w:p>
            <w:pPr>
              <w:spacing w:after="0"/>
              <w:rPr>
                <w:sz w:val="20"/>
                <w:szCs w:val="20"/>
                <w:color w:val="auto"/>
              </w:rPr>
            </w:pPr>
            <w:r>
              <w:rPr>
                <w:rFonts w:ascii="Arial" w:cs="Arial" w:eastAsia="Arial" w:hAnsi="Arial"/>
                <w:sz w:val="18"/>
                <w:szCs w:val="18"/>
                <w:color w:val="auto"/>
                <w:w w:val="93"/>
              </w:rPr>
              <w:t>XBRL Document - the instance document does not appear in the Interactive Data File because its XBRL tags are embedded within the</w:t>
            </w:r>
          </w:p>
        </w:tc>
      </w:tr>
      <w:tr>
        <w:trPr>
          <w:trHeight w:val="230"/>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0" w:type="dxa"/>
            <w:vAlign w:val="bottom"/>
            <w:gridSpan w:val="22"/>
          </w:tcPr>
          <w:p>
            <w:pPr>
              <w:spacing w:after="0"/>
              <w:rPr>
                <w:sz w:val="20"/>
                <w:szCs w:val="20"/>
                <w:color w:val="auto"/>
              </w:rPr>
            </w:pPr>
            <w:r>
              <w:rPr>
                <w:rFonts w:ascii="Arial" w:cs="Arial" w:eastAsia="Arial" w:hAnsi="Arial"/>
                <w:sz w:val="18"/>
                <w:szCs w:val="18"/>
                <w:color w:val="auto"/>
              </w:rPr>
              <w:t>Inline XBRL document</w:t>
            </w:r>
          </w:p>
        </w:tc>
      </w:tr>
      <w:tr>
        <w:trPr>
          <w:trHeight w:val="297"/>
        </w:trPr>
        <w:tc>
          <w:tcPr>
            <w:tcW w:w="1040" w:type="dxa"/>
            <w:vAlign w:val="bottom"/>
            <w:gridSpan w:val="5"/>
          </w:tcPr>
          <w:p>
            <w:pPr>
              <w:jc w:val="center"/>
              <w:ind w:right="180"/>
              <w:spacing w:after="0"/>
              <w:rPr>
                <w:sz w:val="20"/>
                <w:szCs w:val="20"/>
                <w:color w:val="auto"/>
              </w:rPr>
            </w:pPr>
            <w:r>
              <w:rPr>
                <w:rFonts w:ascii="Arial" w:cs="Arial" w:eastAsia="Arial" w:hAnsi="Arial"/>
                <w:sz w:val="18"/>
                <w:szCs w:val="18"/>
                <w:color w:val="auto"/>
                <w:w w:val="90"/>
              </w:rPr>
              <w:t>101.SCH</w:t>
            </w:r>
          </w:p>
        </w:tc>
        <w:tc>
          <w:tcPr>
            <w:tcW w:w="10000" w:type="dxa"/>
            <w:vAlign w:val="bottom"/>
            <w:gridSpan w:val="2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97"/>
        </w:trPr>
        <w:tc>
          <w:tcPr>
            <w:tcW w:w="1040" w:type="dxa"/>
            <w:vAlign w:val="bottom"/>
            <w:gridSpan w:val="5"/>
          </w:tcPr>
          <w:p>
            <w:pPr>
              <w:jc w:val="center"/>
              <w:ind w:right="160"/>
              <w:spacing w:after="0"/>
              <w:rPr>
                <w:sz w:val="20"/>
                <w:szCs w:val="20"/>
                <w:color w:val="auto"/>
              </w:rPr>
            </w:pPr>
            <w:r>
              <w:rPr>
                <w:rFonts w:ascii="Arial" w:cs="Arial" w:eastAsia="Arial" w:hAnsi="Arial"/>
                <w:sz w:val="18"/>
                <w:szCs w:val="18"/>
                <w:color w:val="auto"/>
                <w:w w:val="97"/>
              </w:rPr>
              <w:t>101.CAL</w:t>
            </w:r>
          </w:p>
        </w:tc>
        <w:tc>
          <w:tcPr>
            <w:tcW w:w="10000" w:type="dxa"/>
            <w:vAlign w:val="bottom"/>
            <w:gridSpan w:val="2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97"/>
        </w:trPr>
        <w:tc>
          <w:tcPr>
            <w:tcW w:w="104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101.DEF</w:t>
            </w:r>
          </w:p>
        </w:tc>
        <w:tc>
          <w:tcPr>
            <w:tcW w:w="10000" w:type="dxa"/>
            <w:vAlign w:val="bottom"/>
            <w:gridSpan w:val="22"/>
          </w:tcPr>
          <w:p>
            <w:pPr>
              <w:spacing w:after="0"/>
              <w:rPr>
                <w:sz w:val="20"/>
                <w:szCs w:val="20"/>
                <w:color w:val="auto"/>
              </w:rPr>
            </w:pPr>
            <w:r>
              <w:rPr>
                <w:rFonts w:ascii="Arial" w:cs="Arial" w:eastAsia="Arial" w:hAnsi="Arial"/>
                <w:sz w:val="18"/>
                <w:szCs w:val="18"/>
                <w:color w:val="auto"/>
              </w:rPr>
              <w:t>XBRL Taxonomy Definition Linkbase Document</w:t>
            </w:r>
          </w:p>
        </w:tc>
      </w:tr>
      <w:tr>
        <w:trPr>
          <w:trHeight w:val="297"/>
        </w:trPr>
        <w:tc>
          <w:tcPr>
            <w:tcW w:w="1040" w:type="dxa"/>
            <w:vAlign w:val="bottom"/>
            <w:gridSpan w:val="5"/>
          </w:tcPr>
          <w:p>
            <w:pPr>
              <w:jc w:val="center"/>
              <w:ind w:right="160"/>
              <w:spacing w:after="0"/>
              <w:rPr>
                <w:sz w:val="20"/>
                <w:szCs w:val="20"/>
                <w:color w:val="auto"/>
              </w:rPr>
            </w:pPr>
            <w:r>
              <w:rPr>
                <w:rFonts w:ascii="Arial" w:cs="Arial" w:eastAsia="Arial" w:hAnsi="Arial"/>
                <w:sz w:val="18"/>
                <w:szCs w:val="18"/>
                <w:color w:val="auto"/>
                <w:w w:val="98"/>
              </w:rPr>
              <w:t>101.LAB</w:t>
            </w:r>
          </w:p>
        </w:tc>
        <w:tc>
          <w:tcPr>
            <w:tcW w:w="10000" w:type="dxa"/>
            <w:vAlign w:val="bottom"/>
            <w:gridSpan w:val="2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97"/>
        </w:trPr>
        <w:tc>
          <w:tcPr>
            <w:tcW w:w="1040" w:type="dxa"/>
            <w:vAlign w:val="bottom"/>
            <w:gridSpan w:val="5"/>
          </w:tcPr>
          <w:p>
            <w:pPr>
              <w:jc w:val="center"/>
              <w:ind w:right="160"/>
              <w:spacing w:after="0"/>
              <w:rPr>
                <w:sz w:val="20"/>
                <w:szCs w:val="20"/>
                <w:color w:val="auto"/>
              </w:rPr>
            </w:pPr>
            <w:r>
              <w:rPr>
                <w:rFonts w:ascii="Arial" w:cs="Arial" w:eastAsia="Arial" w:hAnsi="Arial"/>
                <w:sz w:val="18"/>
                <w:szCs w:val="18"/>
                <w:color w:val="auto"/>
                <w:w w:val="88"/>
              </w:rPr>
              <w:t>101.PRE</w:t>
            </w:r>
          </w:p>
        </w:tc>
        <w:tc>
          <w:tcPr>
            <w:tcW w:w="10000" w:type="dxa"/>
            <w:vAlign w:val="bottom"/>
            <w:gridSpan w:val="2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67" w:lineRule="exact"/>
        <w:rPr>
          <w:sz w:val="20"/>
          <w:szCs w:val="20"/>
          <w:color w:val="auto"/>
        </w:rPr>
      </w:pPr>
    </w:p>
    <w:p>
      <w:pPr>
        <w:ind w:left="5500" w:right="1960" w:hanging="5060"/>
        <w:spacing w:after="0" w:line="778" w:lineRule="auto"/>
        <w:tabs>
          <w:tab w:leader="none" w:pos="119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Cover Page Interactive Data File (the cover page iXBRL tags are embedded within the Inline XBRL document)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6" w:name="page117"/>
    <w:bookmarkEnd w:id="116"/>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TREMOR INTERNATIONAL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Ofer Druker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Ofer Druker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Sagi Niri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Sagi Niri</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2022</w:t>
      </w:r>
    </w:p>
    <w:p>
      <w:pPr>
        <w:spacing w:after="0" w:line="200" w:lineRule="exact"/>
        <w:rPr>
          <w:sz w:val="20"/>
          <w:szCs w:val="20"/>
          <w:color w:val="auto"/>
        </w:rPr>
      </w:pPr>
    </w:p>
    <w:p>
      <w:pPr>
        <w:spacing w:after="0" w:line="20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553" w:right="6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60" w:type="dxa"/>
            <w:vAlign w:val="bottom"/>
            <w:gridSpan w:val="3"/>
          </w:tcPr>
          <w:p>
            <w:pPr>
              <w:jc w:val="center"/>
              <w:ind w:right="2260"/>
              <w:spacing w:after="0"/>
              <w:rPr>
                <w:sz w:val="20"/>
                <w:szCs w:val="20"/>
                <w:color w:val="auto"/>
              </w:rPr>
            </w:pPr>
            <w:r>
              <w:rPr>
                <w:rFonts w:ascii="Arial" w:cs="Arial" w:eastAsia="Arial" w:hAnsi="Arial"/>
                <w:sz w:val="18"/>
                <w:szCs w:val="18"/>
                <w:b w:val="1"/>
                <w:bCs w:val="1"/>
                <w:color w:val="auto"/>
                <w:w w:val="98"/>
              </w:rPr>
              <w:t>TABLE OF CONTENTS</w:t>
            </w:r>
          </w:p>
        </w:tc>
        <w:tc>
          <w:tcPr>
            <w:tcW w:w="1360" w:type="dxa"/>
            <w:vAlign w:val="bottom"/>
          </w:tcPr>
          <w:p>
            <w:pPr>
              <w:spacing w:after="0"/>
              <w:rPr>
                <w:sz w:val="20"/>
                <w:szCs w:val="20"/>
                <w:color w:val="auto"/>
              </w:rPr>
            </w:pPr>
          </w:p>
        </w:tc>
      </w:tr>
      <w:tr>
        <w:trPr>
          <w:trHeight w:val="439"/>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392"/>
        </w:trPr>
        <w:tc>
          <w:tcPr>
            <w:tcW w:w="9880" w:type="dxa"/>
            <w:vAlign w:val="bottom"/>
            <w:gridSpan w:val="10"/>
          </w:tcPr>
          <w:p>
            <w:pPr>
              <w:spacing w:after="0"/>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 xml:space="preserve">REPORT OF INDEPENDENT REGISTERED PUBLIC ACCOUNTING FIRM </w:t>
              </w:r>
            </w:hyperlink>
            <w:r>
              <w:rPr>
                <w:rFonts w:ascii="Arial" w:cs="Arial" w:eastAsia="Arial" w:hAnsi="Arial"/>
                <w:sz w:val="18"/>
                <w:szCs w:val="18"/>
                <w:b w:val="1"/>
                <w:bCs w:val="1"/>
                <w:color w:val="000000"/>
              </w:rPr>
              <w:t>(PCAOB</w:t>
            </w:r>
            <w:r>
              <w:rPr>
                <w:rFonts w:ascii="Arial" w:cs="Arial" w:eastAsia="Arial" w:hAnsi="Arial"/>
                <w:sz w:val="18"/>
                <w:szCs w:val="18"/>
                <w:b w:val="1"/>
                <w:bCs w:val="1"/>
                <w:color w:val="0000EE"/>
              </w:rPr>
              <w:t xml:space="preserve"> </w:t>
            </w:r>
            <w:r>
              <w:rPr>
                <w:rFonts w:ascii="Arial" w:cs="Arial" w:eastAsia="Arial" w:hAnsi="Arial"/>
                <w:sz w:val="18"/>
                <w:szCs w:val="18"/>
                <w:b w:val="1"/>
                <w:bCs w:val="1"/>
                <w:color w:val="000000"/>
              </w:rPr>
              <w:t>ID No. 1057)</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F-2</w:t>
            </w:r>
          </w:p>
        </w:tc>
      </w:tr>
      <w:tr>
        <w:trPr>
          <w:trHeight w:val="237"/>
        </w:trPr>
        <w:tc>
          <w:tcPr>
            <w:tcW w:w="6160" w:type="dxa"/>
            <w:vAlign w:val="bottom"/>
            <w:tcBorders>
              <w:top w:val="single" w:sz="8" w:color="0000EE"/>
            </w:tcBorders>
            <w:gridSpan w:val="9"/>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37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92"/>
        </w:trPr>
        <w:tc>
          <w:tcPr>
            <w:tcW w:w="260" w:type="dxa"/>
            <w:vAlign w:val="bottom"/>
          </w:tcPr>
          <w:p>
            <w:pPr>
              <w:spacing w:after="0"/>
              <w:rPr>
                <w:sz w:val="24"/>
                <w:szCs w:val="24"/>
                <w:color w:val="auto"/>
              </w:rPr>
            </w:pPr>
          </w:p>
        </w:tc>
        <w:tc>
          <w:tcPr>
            <w:tcW w:w="33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20">
              <w:r>
                <w:rPr>
                  <w:rFonts w:ascii="Arial" w:cs="Arial" w:eastAsia="Arial" w:hAnsi="Arial"/>
                  <w:sz w:val="18"/>
                  <w:szCs w:val="18"/>
                  <w:color w:val="0000EE"/>
                  <w:w w:val="90"/>
                </w:rPr>
                <w:t>Consolidated Statements of Financial Position</w:t>
              </w:r>
            </w:hyperlink>
          </w:p>
        </w:tc>
        <w:tc>
          <w:tcPr>
            <w:tcW w:w="6280" w:type="dxa"/>
            <w:vAlign w:val="bottom"/>
            <w:gridSpan w:val="4"/>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F-3</w:t>
            </w:r>
          </w:p>
        </w:tc>
      </w:tr>
      <w:tr>
        <w:trPr>
          <w:trHeight w:val="412"/>
        </w:trPr>
        <w:tc>
          <w:tcPr>
            <w:tcW w:w="260" w:type="dxa"/>
            <w:vAlign w:val="bottom"/>
          </w:tcPr>
          <w:p>
            <w:pPr>
              <w:spacing w:after="0"/>
              <w:rPr>
                <w:sz w:val="24"/>
                <w:szCs w:val="24"/>
                <w:color w:val="auto"/>
              </w:rPr>
            </w:pPr>
          </w:p>
        </w:tc>
        <w:tc>
          <w:tcPr>
            <w:tcW w:w="52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21">
              <w:r>
                <w:rPr>
                  <w:rFonts w:ascii="Arial" w:cs="Arial" w:eastAsia="Arial" w:hAnsi="Arial"/>
                  <w:sz w:val="18"/>
                  <w:szCs w:val="18"/>
                  <w:color w:val="0000EE"/>
                  <w:w w:val="89"/>
                </w:rPr>
                <w:t>Consolidated Statements of Operation and Other Comprehensive income</w:t>
              </w:r>
            </w:hyperlink>
          </w:p>
        </w:tc>
        <w:tc>
          <w:tcPr>
            <w:tcW w:w="4360" w:type="dxa"/>
            <w:vAlign w:val="bottom"/>
            <w:gridSpan w:val="2"/>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F-4</w:t>
            </w:r>
          </w:p>
        </w:tc>
      </w:tr>
      <w:tr>
        <w:trPr>
          <w:trHeight w:val="412"/>
        </w:trPr>
        <w:tc>
          <w:tcPr>
            <w:tcW w:w="260" w:type="dxa"/>
            <w:vAlign w:val="bottom"/>
          </w:tcPr>
          <w:p>
            <w:pPr>
              <w:spacing w:after="0"/>
              <w:rPr>
                <w:sz w:val="24"/>
                <w:szCs w:val="24"/>
                <w:color w:val="auto"/>
              </w:rPr>
            </w:pPr>
          </w:p>
        </w:tc>
        <w:tc>
          <w:tcPr>
            <w:tcW w:w="33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22">
              <w:r>
                <w:rPr>
                  <w:rFonts w:ascii="Arial" w:cs="Arial" w:eastAsia="Arial" w:hAnsi="Arial"/>
                  <w:sz w:val="18"/>
                  <w:szCs w:val="18"/>
                  <w:color w:val="0000EE"/>
                  <w:w w:val="89"/>
                </w:rPr>
                <w:t>Consolidated Statements of Changes in Equity</w:t>
              </w:r>
            </w:hyperlink>
          </w:p>
        </w:tc>
        <w:tc>
          <w:tcPr>
            <w:tcW w:w="6260" w:type="dxa"/>
            <w:vAlign w:val="bottom"/>
            <w:gridSpan w:val="3"/>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F-5 - F-6</w:t>
            </w:r>
          </w:p>
        </w:tc>
      </w:tr>
      <w:tr>
        <w:trPr>
          <w:trHeight w:val="412"/>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124">
              <w:r>
                <w:rPr>
                  <w:rFonts w:ascii="Arial" w:cs="Arial" w:eastAsia="Arial" w:hAnsi="Arial"/>
                  <w:sz w:val="18"/>
                  <w:szCs w:val="18"/>
                  <w:color w:val="0000EE"/>
                  <w:w w:val="89"/>
                </w:rPr>
                <w:t>Consolidated Statements of Cash Flows</w:t>
              </w:r>
            </w:hyperlink>
          </w:p>
        </w:tc>
        <w:tc>
          <w:tcPr>
            <w:tcW w:w="6720" w:type="dxa"/>
            <w:vAlign w:val="bottom"/>
            <w:gridSpan w:val="6"/>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F-7</w:t>
            </w:r>
          </w:p>
        </w:tc>
      </w:tr>
      <w:tr>
        <w:trPr>
          <w:trHeight w:val="412"/>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gridSpan w:val="7"/>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Notes to Consolidated Financial Statements</w:t>
              </w:r>
            </w:hyperlink>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F-8 - F-56</w:t>
            </w:r>
          </w:p>
        </w:tc>
      </w:tr>
      <w:tr>
        <w:trPr>
          <w:trHeight w:val="453"/>
        </w:trPr>
        <w:tc>
          <w:tcPr>
            <w:tcW w:w="300" w:type="dxa"/>
            <w:vAlign w:val="bottom"/>
            <w:gridSpan w:val="3"/>
          </w:tcPr>
          <w:p>
            <w:pPr>
              <w:spacing w:after="0"/>
              <w:rPr>
                <w:sz w:val="24"/>
                <w:szCs w:val="24"/>
                <w:color w:val="auto"/>
              </w:rPr>
            </w:pPr>
          </w:p>
        </w:tc>
        <w:tc>
          <w:tcPr>
            <w:tcW w:w="3140" w:type="dxa"/>
            <w:vAlign w:val="bottom"/>
            <w:tcBorders>
              <w:top w:val="single" w:sz="8" w:color="0000EE"/>
            </w:tcBorders>
            <w:gridSpan w:val="2"/>
          </w:tcPr>
          <w:p>
            <w:pPr>
              <w:spacing w:after="0"/>
              <w:rPr>
                <w:sz w:val="24"/>
                <w:szCs w:val="24"/>
                <w:color w:val="auto"/>
              </w:rPr>
            </w:pPr>
          </w:p>
        </w:tc>
        <w:tc>
          <w:tcPr>
            <w:tcW w:w="6440" w:type="dxa"/>
            <w:vAlign w:val="bottom"/>
            <w:gridSpan w:val="5"/>
          </w:tcPr>
          <w:p>
            <w:pPr>
              <w:jc w:val="right"/>
              <w:ind w:right="3540"/>
              <w:spacing w:after="0"/>
              <w:rPr>
                <w:sz w:val="20"/>
                <w:szCs w:val="20"/>
                <w:color w:val="auto"/>
              </w:rPr>
            </w:pPr>
            <w:r>
              <w:rPr>
                <w:rFonts w:ascii="Arial" w:cs="Arial" w:eastAsia="Arial" w:hAnsi="Arial"/>
                <w:sz w:val="18"/>
                <w:szCs w:val="18"/>
                <w:b w:val="1"/>
                <w:bCs w:val="1"/>
                <w:color w:val="auto"/>
              </w:rPr>
              <w:t>- - - - - - - - - - - - - -</w:t>
            </w:r>
          </w:p>
        </w:tc>
        <w:tc>
          <w:tcPr>
            <w:tcW w:w="1360" w:type="dxa"/>
            <w:vAlign w:val="bottom"/>
          </w:tcPr>
          <w:p>
            <w:pPr>
              <w:spacing w:after="0"/>
              <w:rPr>
                <w:sz w:val="24"/>
                <w:szCs w:val="24"/>
                <w:color w:val="auto"/>
              </w:rPr>
            </w:pPr>
          </w:p>
        </w:tc>
      </w:tr>
      <w:tr>
        <w:trPr>
          <w:trHeight w:val="412"/>
        </w:trPr>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118" w:name="page119"/>
    <w:bookmarkEnd w:id="118"/>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Tremor International Ltd.: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We have audited the accompanying consolidated statements of financial position of Tremor International Ltd. and its subsidiaries (hereinafter –"the Company") as of December 31, 2021 and 2020, the related consolidated statements of operation and other comprehensive income, changes in equity, and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2021, in conformity with International Financial Reporting Standards, as issued by the International Accounting Standard Board.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 Somekh Chaikin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Somekh Chaikin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Member Firm of KPMG International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15, 2022</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3540" w:type="dxa"/>
            <w:vAlign w:val="bottom"/>
            <w:gridSpan w:val="3"/>
          </w:tcPr>
          <w:p>
            <w:pPr>
              <w:ind w:left="140"/>
              <w:spacing w:after="0"/>
              <w:rPr>
                <w:sz w:val="20"/>
                <w:szCs w:val="20"/>
                <w:color w:val="auto"/>
              </w:rPr>
            </w:pPr>
            <w:r>
              <w:rPr>
                <w:rFonts w:ascii="Arial" w:cs="Arial" w:eastAsia="Arial" w:hAnsi="Arial"/>
                <w:sz w:val="18"/>
                <w:szCs w:val="18"/>
                <w:b w:val="1"/>
                <w:bCs w:val="1"/>
                <w:color w:val="auto"/>
              </w:rPr>
              <w:t>(Audited)</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5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87"/>
              </w:rPr>
              <w:t>December 31</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Pr>
          <w:p>
            <w:pPr>
              <w:spacing w:after="0"/>
              <w:rPr>
                <w:sz w:val="19"/>
                <w:szCs w:val="19"/>
                <w:color w:val="auto"/>
              </w:rPr>
            </w:pPr>
          </w:p>
        </w:tc>
      </w:tr>
      <w:tr>
        <w:trPr>
          <w:trHeight w:val="223"/>
        </w:trPr>
        <w:tc>
          <w:tcPr>
            <w:tcW w:w="5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Note</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USD</w:t>
            </w:r>
          </w:p>
        </w:tc>
        <w:tc>
          <w:tcPr>
            <w:tcW w:w="134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w w:val="74"/>
              </w:rPr>
              <w:t>thousands</w:t>
            </w:r>
          </w:p>
        </w:tc>
        <w:tc>
          <w:tcPr>
            <w:tcW w:w="100" w:type="dxa"/>
            <w:vAlign w:val="bottom"/>
          </w:tcPr>
          <w:p>
            <w:pPr>
              <w:spacing w:after="0"/>
              <w:rPr>
                <w:sz w:val="19"/>
                <w:szCs w:val="19"/>
                <w:color w:val="auto"/>
              </w:rPr>
            </w:pPr>
          </w:p>
        </w:tc>
      </w:tr>
      <w:tr>
        <w:trPr>
          <w:trHeight w:val="216"/>
        </w:trPr>
        <w:tc>
          <w:tcPr>
            <w:tcW w:w="5120" w:type="dxa"/>
            <w:vAlign w:val="bottom"/>
            <w:shd w:val="clear" w:color="auto" w:fill="CCEEFF"/>
          </w:tcPr>
          <w:p>
            <w:pPr>
              <w:ind w:left="3400"/>
              <w:spacing w:after="0"/>
              <w:rPr>
                <w:sz w:val="20"/>
                <w:szCs w:val="20"/>
                <w:color w:val="auto"/>
              </w:rPr>
            </w:pPr>
            <w:r>
              <w:rPr>
                <w:rFonts w:ascii="Arial" w:cs="Arial" w:eastAsia="Arial" w:hAnsi="Arial"/>
                <w:sz w:val="18"/>
                <w:szCs w:val="18"/>
                <w:b w:val="1"/>
                <w:bCs w:val="1"/>
                <w:color w:val="auto"/>
              </w:rPr>
              <w:t>Assets</w:t>
            </w:r>
          </w:p>
        </w:tc>
        <w:tc>
          <w:tcPr>
            <w:tcW w:w="22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Cash and cash equivalents</w:t>
            </w:r>
          </w:p>
        </w:tc>
        <w:tc>
          <w:tcPr>
            <w:tcW w:w="3300" w:type="dxa"/>
            <w:vAlign w:val="bottom"/>
            <w:gridSpan w:val="2"/>
            <w:shd w:val="clear" w:color="auto" w:fill="CCEEFF"/>
          </w:tcPr>
          <w:p>
            <w:pPr>
              <w:jc w:val="center"/>
              <w:ind w:left="2190"/>
              <w:spacing w:after="0"/>
              <w:rPr>
                <w:sz w:val="20"/>
                <w:szCs w:val="20"/>
                <w:color w:val="auto"/>
              </w:rPr>
            </w:pPr>
            <w:r>
              <w:rPr>
                <w:rFonts w:ascii="Arial" w:cs="Arial" w:eastAsia="Arial" w:hAnsi="Arial"/>
                <w:sz w:val="18"/>
                <w:szCs w:val="18"/>
                <w:color w:val="auto"/>
                <w:w w:val="89"/>
              </w:rPr>
              <w:t>10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367,717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97,463</w:t>
            </w:r>
          </w:p>
        </w:tc>
      </w:tr>
      <w:tr>
        <w:trPr>
          <w:trHeight w:val="216"/>
        </w:trPr>
        <w:tc>
          <w:tcPr>
            <w:tcW w:w="5120" w:type="dxa"/>
            <w:vAlign w:val="bottom"/>
          </w:tcPr>
          <w:p>
            <w:pPr>
              <w:ind w:left="300"/>
              <w:spacing w:after="0"/>
              <w:rPr>
                <w:sz w:val="20"/>
                <w:szCs w:val="20"/>
                <w:color w:val="auto"/>
              </w:rPr>
            </w:pPr>
            <w:r>
              <w:rPr>
                <w:rFonts w:ascii="Arial" w:cs="Arial" w:eastAsia="Arial" w:hAnsi="Arial"/>
                <w:sz w:val="18"/>
                <w:szCs w:val="18"/>
                <w:color w:val="auto"/>
              </w:rPr>
              <w:t>Trade receivables, net</w:t>
            </w:r>
          </w:p>
        </w:tc>
        <w:tc>
          <w:tcPr>
            <w:tcW w:w="3300" w:type="dxa"/>
            <w:vAlign w:val="bottom"/>
            <w:gridSpan w:val="2"/>
          </w:tcPr>
          <w:p>
            <w:pPr>
              <w:jc w:val="center"/>
              <w:ind w:left="2190"/>
              <w:spacing w:after="0"/>
              <w:rPr>
                <w:sz w:val="20"/>
                <w:szCs w:val="20"/>
                <w:color w:val="auto"/>
              </w:rPr>
            </w:pPr>
            <w:r>
              <w:rPr>
                <w:rFonts w:ascii="Arial" w:cs="Arial" w:eastAsia="Arial" w:hAnsi="Arial"/>
                <w:sz w:val="18"/>
                <w:szCs w:val="18"/>
                <w:color w:val="auto"/>
                <w:w w:val="99"/>
              </w:rPr>
              <w:t>8</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165,063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153,544</w:t>
            </w:r>
          </w:p>
        </w:tc>
      </w:tr>
      <w:tr>
        <w:trPr>
          <w:trHeight w:val="216"/>
        </w:trPr>
        <w:tc>
          <w:tcPr>
            <w:tcW w:w="5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receivables</w:t>
            </w:r>
          </w:p>
        </w:tc>
        <w:tc>
          <w:tcPr>
            <w:tcW w:w="3300" w:type="dxa"/>
            <w:vAlign w:val="bottom"/>
            <w:gridSpan w:val="2"/>
            <w:shd w:val="clear" w:color="auto" w:fill="CCEEFF"/>
          </w:tcPr>
          <w:p>
            <w:pPr>
              <w:jc w:val="center"/>
              <w:ind w:left="2190"/>
              <w:spacing w:after="0"/>
              <w:rPr>
                <w:sz w:val="20"/>
                <w:szCs w:val="20"/>
                <w:color w:val="auto"/>
              </w:rPr>
            </w:pPr>
            <w:r>
              <w:rPr>
                <w:rFonts w:ascii="Arial" w:cs="Arial" w:eastAsia="Arial" w:hAnsi="Arial"/>
                <w:sz w:val="18"/>
                <w:szCs w:val="18"/>
                <w:color w:val="auto"/>
                <w:w w:val="99"/>
              </w:rPr>
              <w:t>8</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18,236</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17,615</w:t>
            </w:r>
          </w:p>
        </w:tc>
      </w:tr>
      <w:tr>
        <w:trPr>
          <w:trHeight w:val="223"/>
        </w:trPr>
        <w:tc>
          <w:tcPr>
            <w:tcW w:w="5120" w:type="dxa"/>
            <w:vAlign w:val="bottom"/>
          </w:tcPr>
          <w:p>
            <w:pPr>
              <w:ind w:left="300"/>
              <w:spacing w:after="0"/>
              <w:rPr>
                <w:sz w:val="20"/>
                <w:szCs w:val="20"/>
                <w:color w:val="auto"/>
              </w:rPr>
            </w:pPr>
            <w:r>
              <w:rPr>
                <w:rFonts w:ascii="Arial" w:cs="Arial" w:eastAsia="Arial" w:hAnsi="Arial"/>
                <w:sz w:val="18"/>
                <w:szCs w:val="18"/>
                <w:color w:val="auto"/>
              </w:rPr>
              <w:t>Current tax assets</w:t>
            </w:r>
          </w:p>
        </w:tc>
        <w:tc>
          <w:tcPr>
            <w:tcW w:w="2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981</w:t>
            </w: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2,029</w:t>
            </w:r>
          </w:p>
        </w:tc>
      </w:tr>
      <w:tr>
        <w:trPr>
          <w:trHeight w:val="216"/>
        </w:trPr>
        <w:tc>
          <w:tcPr>
            <w:tcW w:w="5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551,997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270,651</w:t>
            </w:r>
          </w:p>
        </w:tc>
      </w:tr>
      <w:tr>
        <w:trPr>
          <w:trHeight w:val="216"/>
        </w:trPr>
        <w:tc>
          <w:tcPr>
            <w:tcW w:w="51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300"/>
              <w:spacing w:after="0"/>
              <w:rPr>
                <w:sz w:val="20"/>
                <w:szCs w:val="20"/>
                <w:color w:val="auto"/>
              </w:rPr>
            </w:pPr>
            <w:r>
              <w:rPr>
                <w:rFonts w:ascii="Arial" w:cs="Arial" w:eastAsia="Arial" w:hAnsi="Arial"/>
                <w:sz w:val="18"/>
                <w:szCs w:val="18"/>
                <w:color w:val="auto"/>
              </w:rPr>
              <w:t>Fixed assets, net</w:t>
            </w:r>
          </w:p>
        </w:tc>
        <w:tc>
          <w:tcPr>
            <w:tcW w:w="3300" w:type="dxa"/>
            <w:vAlign w:val="bottom"/>
            <w:gridSpan w:val="2"/>
          </w:tcPr>
          <w:p>
            <w:pPr>
              <w:jc w:val="center"/>
              <w:ind w:left="2190"/>
              <w:spacing w:after="0"/>
              <w:rPr>
                <w:sz w:val="20"/>
                <w:szCs w:val="20"/>
                <w:color w:val="auto"/>
              </w:rPr>
            </w:pPr>
            <w:r>
              <w:rPr>
                <w:rFonts w:ascii="Arial" w:cs="Arial" w:eastAsia="Arial" w:hAnsi="Arial"/>
                <w:sz w:val="18"/>
                <w:szCs w:val="18"/>
                <w:color w:val="auto"/>
                <w:w w:val="99"/>
              </w:rPr>
              <w:t>5</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3,292</w:t>
            </w:r>
          </w:p>
        </w:tc>
      </w:tr>
      <w:tr>
        <w:trPr>
          <w:trHeight w:val="216"/>
        </w:trPr>
        <w:tc>
          <w:tcPr>
            <w:tcW w:w="5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Right-of-use assets</w:t>
            </w:r>
          </w:p>
        </w:tc>
        <w:tc>
          <w:tcPr>
            <w:tcW w:w="3300" w:type="dxa"/>
            <w:vAlign w:val="bottom"/>
            <w:gridSpan w:val="2"/>
            <w:shd w:val="clear" w:color="auto" w:fill="CCEEFF"/>
          </w:tcPr>
          <w:p>
            <w:pPr>
              <w:jc w:val="center"/>
              <w:ind w:left="2190"/>
              <w:spacing w:after="0"/>
              <w:rPr>
                <w:sz w:val="20"/>
                <w:szCs w:val="20"/>
                <w:color w:val="auto"/>
              </w:rPr>
            </w:pPr>
            <w:r>
              <w:rPr>
                <w:rFonts w:ascii="Arial" w:cs="Arial" w:eastAsia="Arial" w:hAnsi="Arial"/>
                <w:sz w:val="18"/>
                <w:szCs w:val="18"/>
                <w:color w:val="auto"/>
                <w:w w:val="99"/>
              </w:rPr>
              <w:t>6</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13,955</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18,657</w:t>
            </w:r>
          </w:p>
        </w:tc>
      </w:tr>
      <w:tr>
        <w:trPr>
          <w:trHeight w:val="216"/>
        </w:trPr>
        <w:tc>
          <w:tcPr>
            <w:tcW w:w="5120" w:type="dxa"/>
            <w:vAlign w:val="bottom"/>
          </w:tcPr>
          <w:p>
            <w:pPr>
              <w:ind w:left="300"/>
              <w:spacing w:after="0"/>
              <w:rPr>
                <w:sz w:val="20"/>
                <w:szCs w:val="20"/>
                <w:color w:val="auto"/>
              </w:rPr>
            </w:pPr>
            <w:r>
              <w:rPr>
                <w:rFonts w:ascii="Arial" w:cs="Arial" w:eastAsia="Arial" w:hAnsi="Arial"/>
                <w:sz w:val="18"/>
                <w:szCs w:val="18"/>
                <w:color w:val="auto"/>
              </w:rPr>
              <w:t>Intangible assets, net</w:t>
            </w:r>
          </w:p>
        </w:tc>
        <w:tc>
          <w:tcPr>
            <w:tcW w:w="3300" w:type="dxa"/>
            <w:vAlign w:val="bottom"/>
            <w:gridSpan w:val="2"/>
          </w:tcPr>
          <w:p>
            <w:pPr>
              <w:jc w:val="center"/>
              <w:ind w:left="2190"/>
              <w:spacing w:after="0"/>
              <w:rPr>
                <w:sz w:val="20"/>
                <w:szCs w:val="20"/>
                <w:color w:val="auto"/>
              </w:rPr>
            </w:pPr>
            <w:r>
              <w:rPr>
                <w:rFonts w:ascii="Arial" w:cs="Arial" w:eastAsia="Arial" w:hAnsi="Arial"/>
                <w:sz w:val="18"/>
                <w:szCs w:val="18"/>
                <w:color w:val="auto"/>
                <w:w w:val="99"/>
              </w:rPr>
              <w:t>7</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208,220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224,500</w:t>
            </w:r>
          </w:p>
        </w:tc>
      </w:tr>
      <w:tr>
        <w:trPr>
          <w:trHeight w:val="216"/>
        </w:trPr>
        <w:tc>
          <w:tcPr>
            <w:tcW w:w="5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Deferred tax assets</w:t>
            </w:r>
          </w:p>
        </w:tc>
        <w:tc>
          <w:tcPr>
            <w:tcW w:w="3300" w:type="dxa"/>
            <w:vAlign w:val="bottom"/>
            <w:gridSpan w:val="2"/>
            <w:shd w:val="clear" w:color="auto" w:fill="CCEEFF"/>
          </w:tcPr>
          <w:p>
            <w:pPr>
              <w:jc w:val="center"/>
              <w:ind w:left="2190"/>
              <w:spacing w:after="0"/>
              <w:rPr>
                <w:sz w:val="20"/>
                <w:szCs w:val="20"/>
                <w:color w:val="auto"/>
              </w:rPr>
            </w:pPr>
            <w:r>
              <w:rPr>
                <w:rFonts w:ascii="Arial" w:cs="Arial" w:eastAsia="Arial" w:hAnsi="Arial"/>
                <w:sz w:val="18"/>
                <w:szCs w:val="18"/>
                <w:color w:val="auto"/>
                <w:w w:val="99"/>
              </w:rPr>
              <w:t>4</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24,431</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*16,073</w:t>
            </w:r>
          </w:p>
        </w:tc>
      </w:tr>
      <w:tr>
        <w:trPr>
          <w:trHeight w:val="223"/>
        </w:trPr>
        <w:tc>
          <w:tcPr>
            <w:tcW w:w="5120" w:type="dxa"/>
            <w:vAlign w:val="bottom"/>
          </w:tcPr>
          <w:p>
            <w:pPr>
              <w:ind w:left="300"/>
              <w:spacing w:after="0"/>
              <w:rPr>
                <w:sz w:val="20"/>
                <w:szCs w:val="20"/>
                <w:color w:val="auto"/>
              </w:rPr>
            </w:pPr>
            <w:r>
              <w:rPr>
                <w:rFonts w:ascii="Arial" w:cs="Arial" w:eastAsia="Arial" w:hAnsi="Arial"/>
                <w:sz w:val="18"/>
                <w:szCs w:val="18"/>
                <w:color w:val="auto"/>
              </w:rPr>
              <w:t>Other long term assets</w:t>
            </w:r>
          </w:p>
        </w:tc>
        <w:tc>
          <w:tcPr>
            <w:tcW w:w="2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672</w:t>
            </w: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1,834</w:t>
            </w:r>
          </w:p>
        </w:tc>
      </w:tr>
      <w:tr>
        <w:trPr>
          <w:trHeight w:val="216"/>
        </w:trPr>
        <w:tc>
          <w:tcPr>
            <w:tcW w:w="5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2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250,742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264,356</w:t>
            </w:r>
          </w:p>
        </w:tc>
      </w:tr>
      <w:tr>
        <w:trPr>
          <w:trHeight w:val="216"/>
        </w:trPr>
        <w:tc>
          <w:tcPr>
            <w:tcW w:w="5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802,739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535,007</w:t>
            </w:r>
          </w:p>
        </w:tc>
      </w:tr>
      <w:tr>
        <w:trPr>
          <w:trHeight w:val="20"/>
        </w:trPr>
        <w:tc>
          <w:tcPr>
            <w:tcW w:w="5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2280"/>
              <w:spacing w:after="0"/>
              <w:rPr>
                <w:sz w:val="20"/>
                <w:szCs w:val="20"/>
                <w:color w:val="auto"/>
              </w:rPr>
            </w:pPr>
            <w:r>
              <w:rPr>
                <w:rFonts w:ascii="Arial" w:cs="Arial" w:eastAsia="Arial" w:hAnsi="Arial"/>
                <w:sz w:val="18"/>
                <w:szCs w:val="18"/>
                <w:b w:val="1"/>
                <w:bCs w:val="1"/>
                <w:color w:val="auto"/>
                <w:w w:val="93"/>
              </w:rPr>
              <w:t>Liabilities and shareholders’ equity</w:t>
            </w:r>
          </w:p>
        </w:tc>
        <w:tc>
          <w:tcPr>
            <w:tcW w:w="2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Current maturities of lease liabilities</w:t>
            </w:r>
          </w:p>
        </w:tc>
        <w:tc>
          <w:tcPr>
            <w:tcW w:w="3300" w:type="dxa"/>
            <w:vAlign w:val="bottom"/>
            <w:gridSpan w:val="2"/>
            <w:shd w:val="clear" w:color="auto" w:fill="CCEEFF"/>
          </w:tcPr>
          <w:p>
            <w:pPr>
              <w:jc w:val="center"/>
              <w:ind w:left="2190"/>
              <w:spacing w:after="0"/>
              <w:rPr>
                <w:sz w:val="20"/>
                <w:szCs w:val="20"/>
                <w:color w:val="auto"/>
              </w:rPr>
            </w:pPr>
            <w:r>
              <w:rPr>
                <w:rFonts w:ascii="Arial" w:cs="Arial" w:eastAsia="Arial" w:hAnsi="Arial"/>
                <w:sz w:val="18"/>
                <w:szCs w:val="18"/>
                <w:color w:val="auto"/>
                <w:w w:val="99"/>
              </w:rPr>
              <w:t>6</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7,119</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9,047</w:t>
            </w:r>
          </w:p>
        </w:tc>
      </w:tr>
      <w:tr>
        <w:trPr>
          <w:trHeight w:val="216"/>
        </w:trPr>
        <w:tc>
          <w:tcPr>
            <w:tcW w:w="5120" w:type="dxa"/>
            <w:vAlign w:val="bottom"/>
          </w:tcPr>
          <w:p>
            <w:pPr>
              <w:ind w:left="300"/>
              <w:spacing w:after="0"/>
              <w:rPr>
                <w:sz w:val="20"/>
                <w:szCs w:val="20"/>
                <w:color w:val="auto"/>
              </w:rPr>
            </w:pPr>
            <w:r>
              <w:rPr>
                <w:rFonts w:ascii="Arial" w:cs="Arial" w:eastAsia="Arial" w:hAnsi="Arial"/>
                <w:sz w:val="18"/>
                <w:szCs w:val="18"/>
                <w:color w:val="auto"/>
              </w:rPr>
              <w:t>Trade payables</w:t>
            </w:r>
          </w:p>
        </w:tc>
        <w:tc>
          <w:tcPr>
            <w:tcW w:w="3300" w:type="dxa"/>
            <w:vAlign w:val="bottom"/>
            <w:gridSpan w:val="2"/>
          </w:tcPr>
          <w:p>
            <w:pPr>
              <w:jc w:val="center"/>
              <w:ind w:left="2190"/>
              <w:spacing w:after="0"/>
              <w:rPr>
                <w:sz w:val="20"/>
                <w:szCs w:val="20"/>
                <w:color w:val="auto"/>
              </w:rPr>
            </w:pPr>
            <w:r>
              <w:rPr>
                <w:rFonts w:ascii="Arial" w:cs="Arial" w:eastAsia="Arial" w:hAnsi="Arial"/>
                <w:sz w:val="18"/>
                <w:szCs w:val="18"/>
                <w:color w:val="auto"/>
                <w:w w:val="99"/>
              </w:rPr>
              <w:t>9</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161,812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125,863</w:t>
            </w:r>
          </w:p>
        </w:tc>
      </w:tr>
      <w:tr>
        <w:trPr>
          <w:trHeight w:val="216"/>
        </w:trPr>
        <w:tc>
          <w:tcPr>
            <w:tcW w:w="5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payables</w:t>
            </w:r>
          </w:p>
        </w:tc>
        <w:tc>
          <w:tcPr>
            <w:tcW w:w="3300" w:type="dxa"/>
            <w:vAlign w:val="bottom"/>
            <w:gridSpan w:val="2"/>
            <w:shd w:val="clear" w:color="auto" w:fill="CCEEFF"/>
          </w:tcPr>
          <w:p>
            <w:pPr>
              <w:jc w:val="center"/>
              <w:ind w:left="2190"/>
              <w:spacing w:after="0"/>
              <w:rPr>
                <w:sz w:val="20"/>
                <w:szCs w:val="20"/>
                <w:color w:val="auto"/>
              </w:rPr>
            </w:pPr>
            <w:r>
              <w:rPr>
                <w:rFonts w:ascii="Arial" w:cs="Arial" w:eastAsia="Arial" w:hAnsi="Arial"/>
                <w:sz w:val="18"/>
                <w:szCs w:val="18"/>
                <w:color w:val="auto"/>
                <w:w w:val="99"/>
              </w:rPr>
              <w:t>9</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42,900</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47,122</w:t>
            </w:r>
          </w:p>
        </w:tc>
      </w:tr>
      <w:tr>
        <w:trPr>
          <w:trHeight w:val="223"/>
        </w:trPr>
        <w:tc>
          <w:tcPr>
            <w:tcW w:w="5120" w:type="dxa"/>
            <w:vAlign w:val="bottom"/>
          </w:tcPr>
          <w:p>
            <w:pPr>
              <w:ind w:left="300"/>
              <w:spacing w:after="0"/>
              <w:rPr>
                <w:sz w:val="20"/>
                <w:szCs w:val="20"/>
                <w:color w:val="auto"/>
              </w:rPr>
            </w:pPr>
            <w:r>
              <w:rPr>
                <w:rFonts w:ascii="Arial" w:cs="Arial" w:eastAsia="Arial" w:hAnsi="Arial"/>
                <w:sz w:val="18"/>
                <w:szCs w:val="18"/>
                <w:color w:val="auto"/>
              </w:rPr>
              <w:t>Current tax liabilities</w:t>
            </w:r>
          </w:p>
        </w:tc>
        <w:tc>
          <w:tcPr>
            <w:tcW w:w="2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8,836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3,162</w:t>
            </w:r>
          </w:p>
        </w:tc>
      </w:tr>
      <w:tr>
        <w:trPr>
          <w:trHeight w:val="216"/>
        </w:trPr>
        <w:tc>
          <w:tcPr>
            <w:tcW w:w="5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2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220,667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185,194</w:t>
            </w:r>
          </w:p>
        </w:tc>
      </w:tr>
      <w:tr>
        <w:trPr>
          <w:trHeight w:val="216"/>
        </w:trPr>
        <w:tc>
          <w:tcPr>
            <w:tcW w:w="5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300"/>
              <w:spacing w:after="0"/>
              <w:rPr>
                <w:sz w:val="20"/>
                <w:szCs w:val="20"/>
                <w:color w:val="auto"/>
              </w:rPr>
            </w:pPr>
            <w:r>
              <w:rPr>
                <w:rFonts w:ascii="Arial" w:cs="Arial" w:eastAsia="Arial" w:hAnsi="Arial"/>
                <w:sz w:val="18"/>
                <w:szCs w:val="18"/>
                <w:color w:val="auto"/>
              </w:rPr>
              <w:t>Employee benefits</w:t>
            </w:r>
          </w:p>
        </w:tc>
        <w:tc>
          <w:tcPr>
            <w:tcW w:w="2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426</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r>
      <w:tr>
        <w:trPr>
          <w:trHeight w:val="216"/>
        </w:trPr>
        <w:tc>
          <w:tcPr>
            <w:tcW w:w="5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Long-term lease liabilities</w:t>
            </w:r>
          </w:p>
        </w:tc>
        <w:tc>
          <w:tcPr>
            <w:tcW w:w="3300" w:type="dxa"/>
            <w:vAlign w:val="bottom"/>
            <w:gridSpan w:val="2"/>
            <w:shd w:val="clear" w:color="auto" w:fill="CCEEFF"/>
          </w:tcPr>
          <w:p>
            <w:pPr>
              <w:jc w:val="center"/>
              <w:ind w:left="2190"/>
              <w:spacing w:after="0"/>
              <w:rPr>
                <w:sz w:val="20"/>
                <w:szCs w:val="20"/>
                <w:color w:val="auto"/>
              </w:rPr>
            </w:pPr>
            <w:r>
              <w:rPr>
                <w:rFonts w:ascii="Arial" w:cs="Arial" w:eastAsia="Arial" w:hAnsi="Arial"/>
                <w:sz w:val="18"/>
                <w:szCs w:val="18"/>
                <w:color w:val="auto"/>
                <w:w w:val="99"/>
              </w:rPr>
              <w:t>6</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12,162</w:t>
            </w:r>
          </w:p>
        </w:tc>
      </w:tr>
      <w:tr>
        <w:trPr>
          <w:trHeight w:val="216"/>
        </w:trPr>
        <w:tc>
          <w:tcPr>
            <w:tcW w:w="5120" w:type="dxa"/>
            <w:vAlign w:val="bottom"/>
          </w:tcPr>
          <w:p>
            <w:pPr>
              <w:ind w:left="300"/>
              <w:spacing w:after="0"/>
              <w:rPr>
                <w:sz w:val="20"/>
                <w:szCs w:val="20"/>
                <w:color w:val="auto"/>
              </w:rPr>
            </w:pPr>
            <w:r>
              <w:rPr>
                <w:rFonts w:ascii="Arial" w:cs="Arial" w:eastAsia="Arial" w:hAnsi="Arial"/>
                <w:sz w:val="18"/>
                <w:szCs w:val="18"/>
                <w:color w:val="auto"/>
              </w:rPr>
              <w:t>Deferred tax liabilities</w:t>
            </w:r>
          </w:p>
        </w:tc>
        <w:tc>
          <w:tcPr>
            <w:tcW w:w="3300" w:type="dxa"/>
            <w:vAlign w:val="bottom"/>
            <w:gridSpan w:val="2"/>
          </w:tcPr>
          <w:p>
            <w:pPr>
              <w:jc w:val="center"/>
              <w:ind w:left="2190"/>
              <w:spacing w:after="0"/>
              <w:rPr>
                <w:sz w:val="20"/>
                <w:szCs w:val="20"/>
                <w:color w:val="auto"/>
              </w:rPr>
            </w:pPr>
            <w:r>
              <w:rPr>
                <w:rFonts w:ascii="Arial" w:cs="Arial" w:eastAsia="Arial" w:hAnsi="Arial"/>
                <w:sz w:val="18"/>
                <w:szCs w:val="18"/>
                <w:color w:val="auto"/>
                <w:w w:val="99"/>
              </w:rPr>
              <w:t>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r>
      <w:tr>
        <w:trPr>
          <w:trHeight w:val="223"/>
        </w:trPr>
        <w:tc>
          <w:tcPr>
            <w:tcW w:w="5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long-term liabilities</w:t>
            </w:r>
          </w:p>
        </w:tc>
        <w:tc>
          <w:tcPr>
            <w:tcW w:w="2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20c</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7,824</w:t>
            </w:r>
          </w:p>
        </w:tc>
      </w:tr>
      <w:tr>
        <w:trPr>
          <w:trHeight w:val="216"/>
        </w:trPr>
        <w:tc>
          <w:tcPr>
            <w:tcW w:w="512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2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9,697</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20,800</w:t>
            </w:r>
          </w:p>
        </w:tc>
      </w:tr>
      <w:tr>
        <w:trPr>
          <w:trHeight w:val="216"/>
        </w:trPr>
        <w:tc>
          <w:tcPr>
            <w:tcW w:w="512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230,364</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205,994</w:t>
            </w:r>
          </w:p>
        </w:tc>
      </w:tr>
      <w:tr>
        <w:trPr>
          <w:trHeight w:val="216"/>
        </w:trPr>
        <w:tc>
          <w:tcPr>
            <w:tcW w:w="5120" w:type="dxa"/>
            <w:vAlign w:val="bottom"/>
            <w:tcBorders>
              <w:top w:val="single" w:sz="8" w:color="CCEEFF"/>
            </w:tcBorders>
          </w:tcPr>
          <w:p>
            <w:pPr>
              <w:spacing w:after="0"/>
              <w:rPr>
                <w:sz w:val="18"/>
                <w:szCs w:val="18"/>
                <w:color w:val="auto"/>
              </w:rPr>
            </w:pPr>
          </w:p>
        </w:tc>
        <w:tc>
          <w:tcPr>
            <w:tcW w:w="3300" w:type="dxa"/>
            <w:vAlign w:val="bottom"/>
            <w:tcBorders>
              <w:top w:val="single" w:sz="8" w:color="CCEEFF"/>
            </w:tcBorders>
            <w:gridSpan w:val="2"/>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300" w:type="dxa"/>
            <w:vAlign w:val="bottom"/>
            <w:gridSpan w:val="2"/>
            <w:shd w:val="clear" w:color="auto" w:fill="CCEEFF"/>
          </w:tcPr>
          <w:p>
            <w:pPr>
              <w:jc w:val="center"/>
              <w:ind w:left="2190"/>
              <w:spacing w:after="0"/>
              <w:rPr>
                <w:sz w:val="20"/>
                <w:szCs w:val="20"/>
                <w:color w:val="auto"/>
              </w:rPr>
            </w:pPr>
            <w:r>
              <w:rPr>
                <w:rFonts w:ascii="Arial" w:cs="Arial" w:eastAsia="Arial" w:hAnsi="Arial"/>
                <w:sz w:val="18"/>
                <w:szCs w:val="18"/>
                <w:color w:val="auto"/>
                <w:w w:val="89"/>
              </w:rPr>
              <w:t>15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300"/>
              <w:spacing w:after="0"/>
              <w:rPr>
                <w:sz w:val="20"/>
                <w:szCs w:val="20"/>
                <w:color w:val="auto"/>
              </w:rPr>
            </w:pPr>
            <w:r>
              <w:rPr>
                <w:rFonts w:ascii="Arial" w:cs="Arial" w:eastAsia="Arial" w:hAnsi="Arial"/>
                <w:sz w:val="18"/>
                <w:szCs w:val="18"/>
                <w:color w:val="auto"/>
              </w:rPr>
              <w:t>Share capital</w:t>
            </w:r>
          </w:p>
        </w:tc>
        <w:tc>
          <w:tcPr>
            <w:tcW w:w="2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442</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r>
      <w:tr>
        <w:trPr>
          <w:trHeight w:val="216"/>
        </w:trPr>
        <w:tc>
          <w:tcPr>
            <w:tcW w:w="5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Share premium</w:t>
            </w:r>
          </w:p>
        </w:tc>
        <w:tc>
          <w:tcPr>
            <w:tcW w:w="2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437,476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264,831</w:t>
            </w:r>
          </w:p>
        </w:tc>
      </w:tr>
      <w:tr>
        <w:trPr>
          <w:trHeight w:val="216"/>
        </w:trPr>
        <w:tc>
          <w:tcPr>
            <w:tcW w:w="5120" w:type="dxa"/>
            <w:vAlign w:val="bottom"/>
          </w:tcPr>
          <w:p>
            <w:pPr>
              <w:ind w:left="300"/>
              <w:spacing w:after="0"/>
              <w:rPr>
                <w:sz w:val="20"/>
                <w:szCs w:val="20"/>
                <w:color w:val="auto"/>
              </w:rPr>
            </w:pPr>
            <w:r>
              <w:rPr>
                <w:rFonts w:ascii="Arial" w:cs="Arial" w:eastAsia="Arial" w:hAnsi="Arial"/>
                <w:sz w:val="18"/>
                <w:szCs w:val="18"/>
                <w:color w:val="auto"/>
              </w:rPr>
              <w:t>Other comprehensive income</w:t>
            </w:r>
          </w:p>
        </w:tc>
        <w:tc>
          <w:tcPr>
            <w:tcW w:w="2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698</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3,330</w:t>
            </w:r>
          </w:p>
        </w:tc>
      </w:tr>
      <w:tr>
        <w:trPr>
          <w:trHeight w:val="223"/>
        </w:trPr>
        <w:tc>
          <w:tcPr>
            <w:tcW w:w="5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Retained earnings</w:t>
            </w:r>
          </w:p>
        </w:tc>
        <w:tc>
          <w:tcPr>
            <w:tcW w:w="2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133,759</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60,472</w:t>
            </w:r>
          </w:p>
        </w:tc>
      </w:tr>
      <w:tr>
        <w:trPr>
          <w:trHeight w:val="216"/>
        </w:trPr>
        <w:tc>
          <w:tcPr>
            <w:tcW w:w="512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2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572,375</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329,013</w:t>
            </w:r>
          </w:p>
        </w:tc>
      </w:tr>
      <w:tr>
        <w:trPr>
          <w:trHeight w:val="216"/>
        </w:trPr>
        <w:tc>
          <w:tcPr>
            <w:tcW w:w="512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802,739</w:t>
            </w: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535,007</w:t>
            </w:r>
          </w:p>
        </w:tc>
      </w:tr>
      <w:tr>
        <w:trPr>
          <w:trHeight w:val="425"/>
        </w:trPr>
        <w:tc>
          <w:tcPr>
            <w:tcW w:w="51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Date of approval of the financial statements: March 15, 2022</w:t>
            </w:r>
          </w:p>
        </w:tc>
        <w:tc>
          <w:tcPr>
            <w:tcW w:w="228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5120" w:type="dxa"/>
            <w:vAlign w:val="bottom"/>
          </w:tcPr>
          <w:p>
            <w:pPr>
              <w:spacing w:after="0"/>
              <w:rPr>
                <w:sz w:val="20"/>
                <w:szCs w:val="20"/>
                <w:color w:val="auto"/>
              </w:rPr>
            </w:pPr>
            <w:r>
              <w:rPr>
                <w:rFonts w:ascii="Arial" w:cs="Arial" w:eastAsia="Arial" w:hAnsi="Arial"/>
                <w:sz w:val="18"/>
                <w:szCs w:val="18"/>
                <w:color w:val="auto"/>
              </w:rPr>
              <w:t>*See Note 2f</w:t>
            </w:r>
          </w:p>
        </w:tc>
        <w:tc>
          <w:tcPr>
            <w:tcW w:w="2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 AND OTHER COMPREHENSIVE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ind w:left="5260"/>
              <w:spacing w:after="0"/>
              <w:rPr>
                <w:sz w:val="20"/>
                <w:szCs w:val="20"/>
                <w:color w:val="auto"/>
              </w:rPr>
            </w:pPr>
            <w:r>
              <w:rPr>
                <w:rFonts w:ascii="Arial" w:cs="Arial" w:eastAsia="Arial" w:hAnsi="Arial"/>
                <w:sz w:val="18"/>
                <w:szCs w:val="18"/>
                <w:b w:val="1"/>
                <w:bCs w:val="1"/>
                <w:color w:val="auto"/>
                <w:w w:val="96"/>
              </w:rPr>
              <w:t>(Audited)</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Year ended</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1"/>
        </w:trPr>
        <w:tc>
          <w:tcPr>
            <w:tcW w:w="6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90"/>
              </w:rPr>
              <w:t>December 31</w:t>
            </w: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2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r>
      <w:tr>
        <w:trPr>
          <w:trHeight w:val="223"/>
        </w:trPr>
        <w:tc>
          <w:tcPr>
            <w:tcW w:w="6040" w:type="dxa"/>
            <w:vAlign w:val="bottom"/>
          </w:tcPr>
          <w:p>
            <w:pPr>
              <w:spacing w:after="0"/>
              <w:rPr>
                <w:sz w:val="19"/>
                <w:szCs w:val="19"/>
                <w:color w:val="auto"/>
              </w:rPr>
            </w:pPr>
          </w:p>
        </w:tc>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Note</w:t>
            </w:r>
          </w:p>
        </w:tc>
        <w:tc>
          <w:tcPr>
            <w:tcW w:w="26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USD thousands</w:t>
            </w:r>
          </w:p>
        </w:tc>
        <w:tc>
          <w:tcPr>
            <w:tcW w:w="2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spacing w:after="0"/>
              <w:rPr>
                <w:sz w:val="18"/>
                <w:szCs w:val="18"/>
                <w:color w:val="auto"/>
              </w:rPr>
            </w:pPr>
          </w:p>
        </w:tc>
        <w:tc>
          <w:tcPr>
            <w:tcW w:w="1200" w:type="dxa"/>
            <w:vAlign w:val="bottom"/>
            <w:gridSpan w:val="2"/>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341,945</w:t>
            </w: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211,920</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325,760</w:t>
            </w:r>
          </w:p>
        </w:tc>
      </w:tr>
      <w:tr>
        <w:trPr>
          <w:trHeight w:val="216"/>
        </w:trPr>
        <w:tc>
          <w:tcPr>
            <w:tcW w:w="6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6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Cost of Revenues (Exclusive of depreciation and amortization shown separately</w:t>
            </w: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below)</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71,651</w:t>
            </w:r>
          </w:p>
        </w:tc>
        <w:tc>
          <w:tcPr>
            <w:tcW w:w="12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59,807</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187,246</w:t>
            </w:r>
          </w:p>
        </w:tc>
      </w:tr>
      <w:tr>
        <w:trPr>
          <w:trHeight w:val="216"/>
        </w:trPr>
        <w:tc>
          <w:tcPr>
            <w:tcW w:w="6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spacing w:after="0"/>
              <w:rPr>
                <w:sz w:val="18"/>
                <w:szCs w:val="18"/>
                <w:color w:val="auto"/>
              </w:rPr>
            </w:pPr>
          </w:p>
        </w:tc>
        <w:tc>
          <w:tcPr>
            <w:tcW w:w="1200" w:type="dxa"/>
            <w:vAlign w:val="bottom"/>
            <w:gridSpan w:val="2"/>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18,422</w:t>
            </w: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13,260</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16,168</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74,611</w:t>
            </w:r>
          </w:p>
        </w:tc>
        <w:tc>
          <w:tcPr>
            <w:tcW w:w="120" w:type="dxa"/>
            <w:vAlign w:val="bottom"/>
          </w:tcPr>
          <w:p>
            <w:pPr>
              <w:spacing w:after="0"/>
              <w:rPr>
                <w:sz w:val="18"/>
                <w:szCs w:val="18"/>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68,765</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52,351</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63,499</w:t>
            </w: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29,678</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34,433</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40,259</w:t>
            </w:r>
          </w:p>
        </w:tc>
        <w:tc>
          <w:tcPr>
            <w:tcW w:w="120" w:type="dxa"/>
            <w:vAlign w:val="bottom"/>
          </w:tcPr>
          <w:p>
            <w:pPr>
              <w:spacing w:after="0"/>
              <w:rPr>
                <w:sz w:val="18"/>
                <w:szCs w:val="18"/>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45,187</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32,359</w:t>
            </w:r>
          </w:p>
        </w:tc>
      </w:tr>
      <w:tr>
        <w:trPr>
          <w:trHeight w:val="223"/>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(income), net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(959)</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1,248</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w:t>
            </w:r>
          </w:p>
        </w:tc>
      </w:tr>
      <w:tr>
        <w:trPr>
          <w:trHeight w:val="216"/>
        </w:trPr>
        <w:tc>
          <w:tcPr>
            <w:tcW w:w="60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23"/>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costs</w:t>
            </w: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158,138</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134,611</w:t>
            </w:r>
          </w:p>
        </w:tc>
      </w:tr>
      <w:tr>
        <w:trPr>
          <w:trHeight w:val="216"/>
        </w:trPr>
        <w:tc>
          <w:tcPr>
            <w:tcW w:w="60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23"/>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(6,025)</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3,903</w:t>
            </w:r>
          </w:p>
        </w:tc>
      </w:tr>
      <w:tr>
        <w:trPr>
          <w:trHeight w:val="216"/>
        </w:trPr>
        <w:tc>
          <w:tcPr>
            <w:tcW w:w="60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(445)</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(773)</w:t>
            </w: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Financing expenses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1,862</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1,088</w:t>
            </w:r>
          </w:p>
        </w:tc>
      </w:tr>
      <w:tr>
        <w:trPr>
          <w:trHeight w:val="216"/>
        </w:trPr>
        <w:tc>
          <w:tcPr>
            <w:tcW w:w="6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b w:val="1"/>
                <w:bCs w:val="1"/>
                <w:color w:val="auto"/>
              </w:rPr>
              <w:t>Financing expenses, net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1,417</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315</w:t>
            </w:r>
          </w:p>
        </w:tc>
      </w:tr>
      <w:tr>
        <w:trPr>
          <w:trHeight w:val="216"/>
        </w:trPr>
        <w:tc>
          <w:tcPr>
            <w:tcW w:w="6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b w:val="1"/>
                <w:bCs w:val="1"/>
                <w:color w:val="auto"/>
              </w:rPr>
              <w:t>Profit (Loss) before taxes on income</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72,275</w:t>
            </w:r>
          </w:p>
        </w:tc>
        <w:tc>
          <w:tcPr>
            <w:tcW w:w="120" w:type="dxa"/>
            <w:vAlign w:val="bottom"/>
          </w:tcPr>
          <w:p>
            <w:pPr>
              <w:spacing w:after="0"/>
              <w:rPr>
                <w:sz w:val="18"/>
                <w:szCs w:val="18"/>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(7,442)</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3,588</w:t>
            </w:r>
          </w:p>
        </w:tc>
      </w:tr>
      <w:tr>
        <w:trPr>
          <w:trHeight w:val="216"/>
        </w:trPr>
        <w:tc>
          <w:tcPr>
            <w:tcW w:w="6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Tax benefit</w:t>
            </w:r>
          </w:p>
        </w:tc>
        <w:tc>
          <w:tcPr>
            <w:tcW w:w="10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9,581</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2,636</w:t>
            </w:r>
          </w:p>
        </w:tc>
      </w:tr>
      <w:tr>
        <w:trPr>
          <w:trHeight w:val="216"/>
        </w:trPr>
        <w:tc>
          <w:tcPr>
            <w:tcW w:w="6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b w:val="1"/>
                <w:bCs w:val="1"/>
                <w:color w:val="auto"/>
              </w:rPr>
              <w:t>Profit for the year</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73,223</w:t>
            </w:r>
          </w:p>
        </w:tc>
        <w:tc>
          <w:tcPr>
            <w:tcW w:w="120" w:type="dxa"/>
            <w:vAlign w:val="bottom"/>
          </w:tcPr>
          <w:p>
            <w:pPr>
              <w:spacing w:after="0"/>
              <w:rPr>
                <w:sz w:val="18"/>
                <w:szCs w:val="18"/>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2,139</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6,224</w:t>
            </w:r>
          </w:p>
        </w:tc>
      </w:tr>
      <w:tr>
        <w:trPr>
          <w:trHeight w:val="20"/>
        </w:trPr>
        <w:tc>
          <w:tcPr>
            <w:tcW w:w="6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b w:val="1"/>
                <w:bCs w:val="1"/>
                <w:color w:val="auto"/>
              </w:rPr>
              <w:t>Other comprehensive income (loss) items:</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differences for foreign operation</w:t>
            </w: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(2,632)</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2,836</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r>
      <w:tr>
        <w:trPr>
          <w:trHeight w:val="216"/>
        </w:trPr>
        <w:tc>
          <w:tcPr>
            <w:tcW w:w="60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23"/>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comprehensive income for the year</w:t>
            </w: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(2,632)</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2,836</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r>
      <w:tr>
        <w:trPr>
          <w:trHeight w:val="216"/>
        </w:trPr>
        <w:tc>
          <w:tcPr>
            <w:tcW w:w="60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56"/>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for the year</w:t>
            </w:r>
          </w:p>
        </w:tc>
        <w:tc>
          <w:tcPr>
            <w:tcW w:w="10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70,591</w:t>
            </w:r>
          </w:p>
        </w:tc>
        <w:tc>
          <w:tcPr>
            <w:tcW w:w="12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4,975</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6,363</w:t>
            </w:r>
          </w:p>
        </w:tc>
      </w:tr>
      <w:tr>
        <w:trPr>
          <w:trHeight w:val="210"/>
        </w:trPr>
        <w:tc>
          <w:tcPr>
            <w:tcW w:w="60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Basic earnings per share (in USD)</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18"/>
                <w:szCs w:val="18"/>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0.02</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(in USD)</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Share</w:t>
            </w: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comprehensive</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Retained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62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Share capital</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premium</w:t>
            </w:r>
          </w:p>
        </w:tc>
        <w:tc>
          <w:tcPr>
            <w:tcW w:w="1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income</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Earnings</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23"/>
        </w:trPr>
        <w:tc>
          <w:tcPr>
            <w:tcW w:w="46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USD thousands</w:t>
            </w:r>
          </w:p>
        </w:tc>
        <w:tc>
          <w:tcPr>
            <w:tcW w:w="220" w:type="dxa"/>
            <w:vAlign w:val="bottom"/>
            <w:tcBorders>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60" w:type="dxa"/>
            <w:vAlign w:val="bottom"/>
            <w:gridSpan w:val="3"/>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2019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72,663</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51,053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124,269</w:t>
            </w: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for the year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 for the year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6,224</w:t>
            </w: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 for the year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6,363</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6"/>
              </w:rPr>
              <w:t>Transactions with owners, recognized directly in equity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620" w:type="dxa"/>
            <w:vAlign w:val="bottom"/>
          </w:tcPr>
          <w:p>
            <w:pPr>
              <w:ind w:left="20"/>
              <w:spacing w:after="0" w:line="201" w:lineRule="exact"/>
              <w:rPr>
                <w:sz w:val="20"/>
                <w:szCs w:val="20"/>
                <w:color w:val="auto"/>
              </w:rPr>
            </w:pPr>
            <w:r>
              <w:rPr>
                <w:rFonts w:ascii="Arial" w:cs="Arial" w:eastAsia="Arial" w:hAnsi="Arial"/>
                <w:sz w:val="18"/>
                <w:szCs w:val="18"/>
                <w:color w:val="auto"/>
              </w:rPr>
              <w:t>Revaluation of liability for put option on non- controlling</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20" w:type="dxa"/>
            <w:vAlign w:val="bottom"/>
          </w:tcPr>
          <w:p>
            <w:pPr>
              <w:ind w:left="240"/>
              <w:spacing w:after="0"/>
              <w:rPr>
                <w:sz w:val="20"/>
                <w:szCs w:val="20"/>
                <w:color w:val="auto"/>
              </w:rPr>
            </w:pPr>
            <w:r>
              <w:rPr>
                <w:rFonts w:ascii="Arial" w:cs="Arial" w:eastAsia="Arial" w:hAnsi="Arial"/>
                <w:sz w:val="18"/>
                <w:szCs w:val="18"/>
                <w:color w:val="auto"/>
              </w:rPr>
              <w:t>interests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1,501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1,501</w:t>
            </w: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shares (net of issuance cost)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175,166</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175,350</w:t>
            </w: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Own shares acquired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(24,696)</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(24,737)</w:t>
            </w: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based compensation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16,042</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16,042</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Exercise of share options</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1,824</w:t>
            </w: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351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240,989</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494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58,778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300,612</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for the year</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480"/>
              <w:spacing w:after="0"/>
              <w:rPr>
                <w:sz w:val="20"/>
                <w:szCs w:val="20"/>
                <w:color w:val="auto"/>
              </w:rPr>
            </w:pPr>
            <w:r>
              <w:rPr>
                <w:rFonts w:ascii="Arial" w:cs="Arial" w:eastAsia="Arial" w:hAnsi="Arial"/>
                <w:sz w:val="18"/>
                <w:szCs w:val="18"/>
                <w:color w:val="auto"/>
              </w:rPr>
              <w:t>Profit for the year</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2,139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2,139</w:t>
            </w:r>
          </w:p>
        </w:tc>
      </w:tr>
      <w:tr>
        <w:trPr>
          <w:trHeight w:val="216"/>
        </w:trPr>
        <w:tc>
          <w:tcPr>
            <w:tcW w:w="4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comprehensive Income: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620" w:type="dxa"/>
            <w:vAlign w:val="bottom"/>
          </w:tcPr>
          <w:p>
            <w:pPr>
              <w:ind w:left="480"/>
              <w:spacing w:after="0"/>
              <w:rPr>
                <w:sz w:val="20"/>
                <w:szCs w:val="20"/>
                <w:color w:val="auto"/>
              </w:rPr>
            </w:pPr>
            <w:r>
              <w:rPr>
                <w:rFonts w:ascii="Arial" w:cs="Arial" w:eastAsia="Arial" w:hAnsi="Arial"/>
                <w:sz w:val="18"/>
                <w:szCs w:val="18"/>
                <w:color w:val="auto"/>
              </w:rPr>
              <w:t>Foreign currency translation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2,836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2,836</w:t>
            </w: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b w:val="1"/>
                <w:bCs w:val="1"/>
                <w:color w:val="auto"/>
              </w:rPr>
              <w:t>Total comprehensive income for the year</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2,836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2,139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4,975</w:t>
            </w: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w w:val="97"/>
              </w:rPr>
              <w:t>Transactions with owners, recognized directly in equity</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Issuance of shares in a Business Combination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14,092</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14,117</w:t>
            </w:r>
          </w:p>
        </w:tc>
      </w:tr>
      <w:tr>
        <w:trPr>
          <w:trHeight w:val="202"/>
        </w:trPr>
        <w:tc>
          <w:tcPr>
            <w:tcW w:w="4620" w:type="dxa"/>
            <w:vAlign w:val="bottom"/>
          </w:tcPr>
          <w:p>
            <w:pPr>
              <w:ind w:left="260"/>
              <w:spacing w:after="0" w:line="201" w:lineRule="exact"/>
              <w:rPr>
                <w:sz w:val="20"/>
                <w:szCs w:val="20"/>
                <w:color w:val="auto"/>
              </w:rPr>
            </w:pPr>
            <w:r>
              <w:rPr>
                <w:rFonts w:ascii="Arial" w:cs="Arial" w:eastAsia="Arial" w:hAnsi="Arial"/>
                <w:sz w:val="18"/>
                <w:szCs w:val="18"/>
                <w:color w:val="auto"/>
                <w:w w:val="99"/>
              </w:rPr>
              <w:t>Revaluation of liability for put option on non- controlling</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20" w:type="dxa"/>
            <w:vAlign w:val="bottom"/>
          </w:tcPr>
          <w:p>
            <w:pPr>
              <w:ind w:left="260"/>
              <w:spacing w:after="0"/>
              <w:rPr>
                <w:sz w:val="20"/>
                <w:szCs w:val="20"/>
                <w:color w:val="auto"/>
              </w:rPr>
            </w:pPr>
            <w:r>
              <w:rPr>
                <w:rFonts w:ascii="Arial" w:cs="Arial" w:eastAsia="Arial" w:hAnsi="Arial"/>
                <w:sz w:val="18"/>
                <w:szCs w:val="18"/>
                <w:color w:val="auto"/>
              </w:rPr>
              <w:t>interests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(445)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(445)</w:t>
            </w:r>
          </w:p>
        </w:tc>
      </w:tr>
      <w:tr>
        <w:trPr>
          <w:trHeight w:val="216"/>
        </w:trPr>
        <w:tc>
          <w:tcPr>
            <w:tcW w:w="4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Own shares acquired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(9,950)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(9,965)</w:t>
            </w:r>
          </w:p>
        </w:tc>
      </w:tr>
      <w:tr>
        <w:trPr>
          <w:trHeight w:val="216"/>
        </w:trPr>
        <w:tc>
          <w:tcPr>
            <w:tcW w:w="4620" w:type="dxa"/>
            <w:vAlign w:val="bottom"/>
          </w:tcPr>
          <w:p>
            <w:pPr>
              <w:ind w:left="260"/>
              <w:spacing w:after="0"/>
              <w:rPr>
                <w:sz w:val="20"/>
                <w:szCs w:val="20"/>
                <w:color w:val="auto"/>
              </w:rPr>
            </w:pPr>
            <w:r>
              <w:rPr>
                <w:rFonts w:ascii="Arial" w:cs="Arial" w:eastAsia="Arial" w:hAnsi="Arial"/>
                <w:sz w:val="18"/>
                <w:szCs w:val="18"/>
                <w:color w:val="auto"/>
              </w:rPr>
              <w:t>Share 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18,770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18,770</w:t>
            </w:r>
          </w:p>
        </w:tc>
      </w:tr>
      <w:tr>
        <w:trPr>
          <w:trHeight w:val="223"/>
        </w:trPr>
        <w:tc>
          <w:tcPr>
            <w:tcW w:w="4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Exercise of share options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264,831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3,330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60,472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329,013</w:t>
            </w:r>
          </w:p>
        </w:tc>
      </w:tr>
      <w:tr>
        <w:trPr>
          <w:trHeight w:val="27"/>
        </w:trPr>
        <w:tc>
          <w:tcPr>
            <w:tcW w:w="46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432"/>
        </w:trPr>
        <w:tc>
          <w:tcPr>
            <w:tcW w:w="7240" w:type="dxa"/>
            <w:vAlign w:val="bottom"/>
            <w:gridSpan w:val="5"/>
          </w:tcPr>
          <w:p>
            <w:pPr>
              <w:spacing w:after="0"/>
              <w:rPr>
                <w:sz w:val="20"/>
                <w:szCs w:val="20"/>
                <w:color w:val="auto"/>
              </w:rPr>
            </w:pPr>
            <w:r>
              <w:rPr>
                <w:rFonts w:ascii="Arial" w:cs="Arial" w:eastAsia="Arial" w:hAnsi="Arial"/>
                <w:sz w:val="18"/>
                <w:szCs w:val="18"/>
                <w:b w:val="1"/>
                <w:bCs w:val="1"/>
                <w:color w:val="auto"/>
                <w:w w:val="95"/>
              </w:rPr>
              <w:t>The accompanying notes are an integral part of these consolidated financial statements.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62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F - 5</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46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297"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 (Cont.)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Share</w:t>
            </w: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comprehensive</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Retained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620" w:type="dxa"/>
            <w:vAlign w:val="bottom"/>
          </w:tcPr>
          <w:p>
            <w:pPr>
              <w:spacing w:after="0"/>
              <w:rPr>
                <w:sz w:val="20"/>
                <w:szCs w:val="20"/>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4"/>
              </w:rPr>
              <w:t>Share capital</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premium</w:t>
            </w:r>
          </w:p>
        </w:tc>
        <w:tc>
          <w:tcPr>
            <w:tcW w:w="1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income</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Earnings</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23"/>
        </w:trPr>
        <w:tc>
          <w:tcPr>
            <w:tcW w:w="46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USD thousands</w:t>
            </w:r>
          </w:p>
        </w:tc>
        <w:tc>
          <w:tcPr>
            <w:tcW w:w="220" w:type="dxa"/>
            <w:vAlign w:val="bottom"/>
            <w:tcBorders>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for the year</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480"/>
              <w:spacing w:after="0"/>
              <w:rPr>
                <w:sz w:val="20"/>
                <w:szCs w:val="20"/>
                <w:color w:val="auto"/>
              </w:rPr>
            </w:pPr>
            <w:r>
              <w:rPr>
                <w:rFonts w:ascii="Arial" w:cs="Arial" w:eastAsia="Arial" w:hAnsi="Arial"/>
                <w:sz w:val="18"/>
                <w:szCs w:val="18"/>
                <w:color w:val="auto"/>
              </w:rPr>
              <w:t>Profit for the year</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73,223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73,223</w:t>
            </w:r>
          </w:p>
        </w:tc>
      </w:tr>
      <w:tr>
        <w:trPr>
          <w:trHeight w:val="216"/>
        </w:trPr>
        <w:tc>
          <w:tcPr>
            <w:tcW w:w="4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comprehensive loss:</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620" w:type="dxa"/>
            <w:vAlign w:val="bottom"/>
          </w:tcPr>
          <w:p>
            <w:pPr>
              <w:ind w:left="480"/>
              <w:spacing w:after="0"/>
              <w:rPr>
                <w:sz w:val="20"/>
                <w:szCs w:val="20"/>
                <w:color w:val="auto"/>
              </w:rPr>
            </w:pPr>
            <w:r>
              <w:rPr>
                <w:rFonts w:ascii="Arial" w:cs="Arial" w:eastAsia="Arial" w:hAnsi="Arial"/>
                <w:sz w:val="18"/>
                <w:szCs w:val="18"/>
                <w:color w:val="auto"/>
              </w:rPr>
              <w:t>Foreign Currency Translation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(2,632)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(2,632)</w:t>
            </w: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b w:val="1"/>
                <w:bCs w:val="1"/>
                <w:color w:val="auto"/>
              </w:rPr>
              <w:t>Total comprehensive Income for the year</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(2,632)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73,223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70,591</w:t>
            </w:r>
          </w:p>
        </w:tc>
      </w:tr>
      <w:tr>
        <w:trPr>
          <w:trHeight w:val="216"/>
        </w:trPr>
        <w:tc>
          <w:tcPr>
            <w:tcW w:w="46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w w:val="97"/>
              </w:rPr>
              <w:t>Transactions with owners, recognized directly in equity</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62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Revaluation of liability for put option on non-</w:t>
            </w: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controlling interests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4620" w:type="dxa"/>
            <w:vAlign w:val="bottom"/>
          </w:tcPr>
          <w:p>
            <w:pPr>
              <w:ind w:left="480"/>
              <w:spacing w:after="0"/>
              <w:rPr>
                <w:sz w:val="20"/>
                <w:szCs w:val="20"/>
                <w:color w:val="auto"/>
              </w:rPr>
            </w:pPr>
            <w:r>
              <w:rPr>
                <w:rFonts w:ascii="Arial" w:cs="Arial" w:eastAsia="Arial" w:hAnsi="Arial"/>
                <w:sz w:val="18"/>
                <w:szCs w:val="18"/>
                <w:color w:val="auto"/>
              </w:rPr>
              <w:t>Own shares acquired</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(6,640)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(6,643)</w:t>
            </w:r>
          </w:p>
        </w:tc>
      </w:tr>
      <w:tr>
        <w:trPr>
          <w:trHeight w:val="216"/>
        </w:trPr>
        <w:tc>
          <w:tcPr>
            <w:tcW w:w="4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Share based compensation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41,822</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41,822</w:t>
            </w:r>
          </w:p>
        </w:tc>
      </w:tr>
      <w:tr>
        <w:trPr>
          <w:trHeight w:val="216"/>
        </w:trPr>
        <w:tc>
          <w:tcPr>
            <w:tcW w:w="4620" w:type="dxa"/>
            <w:vAlign w:val="bottom"/>
          </w:tcPr>
          <w:p>
            <w:pPr>
              <w:ind w:left="480"/>
              <w:spacing w:after="0"/>
              <w:rPr>
                <w:sz w:val="20"/>
                <w:szCs w:val="20"/>
                <w:color w:val="auto"/>
              </w:rPr>
            </w:pPr>
            <w:r>
              <w:rPr>
                <w:rFonts w:ascii="Arial" w:cs="Arial" w:eastAsia="Arial" w:hAnsi="Arial"/>
                <w:sz w:val="18"/>
                <w:szCs w:val="18"/>
                <w:color w:val="auto"/>
              </w:rPr>
              <w:t>Exercise of share options</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1,353</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1,370</w:t>
            </w:r>
          </w:p>
        </w:tc>
      </w:tr>
      <w:tr>
        <w:trPr>
          <w:trHeight w:val="216"/>
        </w:trPr>
        <w:tc>
          <w:tcPr>
            <w:tcW w:w="4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Issuance of shares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136,111</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136,158</w:t>
            </w:r>
          </w:p>
        </w:tc>
      </w:tr>
      <w:tr>
        <w:trPr>
          <w:trHeight w:val="223"/>
        </w:trPr>
        <w:tc>
          <w:tcPr>
            <w:tcW w:w="4620" w:type="dxa"/>
            <w:vAlign w:val="bottom"/>
          </w:tcPr>
          <w:p>
            <w:pPr>
              <w:ind w:left="480"/>
              <w:spacing w:after="0"/>
              <w:rPr>
                <w:sz w:val="20"/>
                <w:szCs w:val="20"/>
                <w:color w:val="auto"/>
              </w:rPr>
            </w:pPr>
            <w:r>
              <w:rPr>
                <w:rFonts w:ascii="Arial" w:cs="Arial" w:eastAsia="Arial" w:hAnsi="Arial"/>
                <w:sz w:val="18"/>
                <w:szCs w:val="18"/>
                <w:color w:val="auto"/>
              </w:rPr>
              <w:t>Issuance of Restricted shares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442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437,476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698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133,759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572,375</w:t>
            </w: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7240" w:type="dxa"/>
            <w:vAlign w:val="bottom"/>
            <w:gridSpan w:val="6"/>
          </w:tcPr>
          <w:p>
            <w:pPr>
              <w:spacing w:after="0"/>
              <w:rPr>
                <w:sz w:val="20"/>
                <w:szCs w:val="20"/>
                <w:color w:val="auto"/>
              </w:rPr>
            </w:pPr>
            <w:r>
              <w:rPr>
                <w:rFonts w:ascii="Arial" w:cs="Arial" w:eastAsia="Arial" w:hAnsi="Arial"/>
                <w:sz w:val="18"/>
                <w:szCs w:val="18"/>
                <w:b w:val="1"/>
                <w:bCs w:val="1"/>
                <w:color w:val="auto"/>
                <w:w w:val="95"/>
              </w:rPr>
              <w:t>The accompanying notes are an integral part of these consolidated financial statements.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620" w:type="dxa"/>
            <w:vAlign w:val="bottom"/>
          </w:tcPr>
          <w:p>
            <w:pPr>
              <w:spacing w:after="0"/>
              <w:rPr>
                <w:sz w:val="24"/>
                <w:szCs w:val="24"/>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F - 6</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46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297"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5260"/>
              <w:spacing w:after="0"/>
              <w:rPr>
                <w:sz w:val="20"/>
                <w:szCs w:val="20"/>
                <w:color w:val="auto"/>
              </w:rPr>
            </w:pPr>
            <w:r>
              <w:rPr>
                <w:rFonts w:ascii="Arial" w:cs="Arial" w:eastAsia="Arial" w:hAnsi="Arial"/>
                <w:sz w:val="18"/>
                <w:szCs w:val="18"/>
                <w:b w:val="1"/>
                <w:bCs w:val="1"/>
                <w:color w:val="auto"/>
              </w:rPr>
              <w:t>(Audited)</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Year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22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USD thousands</w:t>
            </w:r>
          </w:p>
        </w:tc>
        <w:tc>
          <w:tcPr>
            <w:tcW w:w="2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00"/>
              <w:spacing w:after="0"/>
              <w:rPr>
                <w:sz w:val="20"/>
                <w:szCs w:val="20"/>
                <w:color w:val="auto"/>
              </w:rPr>
            </w:pPr>
            <w:r>
              <w:rPr>
                <w:rFonts w:ascii="Arial" w:cs="Arial" w:eastAsia="Arial" w:hAnsi="Arial"/>
                <w:sz w:val="18"/>
                <w:szCs w:val="18"/>
                <w:color w:val="auto"/>
              </w:rPr>
              <w:t>Profit for the year</w:t>
            </w:r>
          </w:p>
        </w:tc>
        <w:tc>
          <w:tcPr>
            <w:tcW w:w="1140" w:type="dxa"/>
            <w:vAlign w:val="bottom"/>
          </w:tcPr>
          <w:p>
            <w:pPr>
              <w:jc w:val="right"/>
              <w:spacing w:after="0"/>
              <w:rPr>
                <w:sz w:val="20"/>
                <w:szCs w:val="20"/>
                <w:color w:val="auto"/>
              </w:rPr>
            </w:pPr>
            <w:r>
              <w:rPr>
                <w:rFonts w:ascii="Arial" w:cs="Arial" w:eastAsia="Arial" w:hAnsi="Arial"/>
                <w:sz w:val="18"/>
                <w:szCs w:val="18"/>
                <w:color w:val="auto"/>
              </w:rPr>
              <w:t>73,223</w:t>
            </w:r>
          </w:p>
        </w:tc>
        <w:tc>
          <w:tcPr>
            <w:tcW w:w="1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2,139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6,224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Adjustments for:</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56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jc w:val="right"/>
              <w:spacing w:after="0"/>
              <w:rPr>
                <w:sz w:val="20"/>
                <w:szCs w:val="20"/>
                <w:color w:val="auto"/>
              </w:rPr>
            </w:pPr>
            <w:r>
              <w:rPr>
                <w:rFonts w:ascii="Arial" w:cs="Arial" w:eastAsia="Arial" w:hAnsi="Arial"/>
                <w:sz w:val="18"/>
                <w:szCs w:val="18"/>
                <w:color w:val="auto"/>
              </w:rPr>
              <w:t>40,259</w:t>
            </w:r>
          </w:p>
        </w:tc>
        <w:tc>
          <w:tcPr>
            <w:tcW w:w="1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45,187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32,359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financing expense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1,310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320" w:type="dxa"/>
            <w:vAlign w:val="bottom"/>
          </w:tcPr>
          <w:p>
            <w:pPr>
              <w:ind w:left="560"/>
              <w:spacing w:after="0"/>
              <w:rPr>
                <w:sz w:val="20"/>
                <w:szCs w:val="20"/>
                <w:color w:val="auto"/>
              </w:rPr>
            </w:pPr>
            <w:r>
              <w:rPr>
                <w:rFonts w:ascii="Arial" w:cs="Arial" w:eastAsia="Arial" w:hAnsi="Arial"/>
                <w:sz w:val="18"/>
                <w:szCs w:val="18"/>
                <w:color w:val="auto"/>
              </w:rPr>
              <w:t>Loss on sale of fixed assets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Gain on leases change contracts</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(2,103)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16"/>
        </w:trPr>
        <w:tc>
          <w:tcPr>
            <w:tcW w:w="7320" w:type="dxa"/>
            <w:vAlign w:val="bottom"/>
          </w:tcPr>
          <w:p>
            <w:pPr>
              <w:ind w:left="560"/>
              <w:spacing w:after="0"/>
              <w:rPr>
                <w:sz w:val="20"/>
                <w:szCs w:val="20"/>
                <w:color w:val="auto"/>
              </w:rPr>
            </w:pPr>
            <w:r>
              <w:rPr>
                <w:rFonts w:ascii="Arial" w:cs="Arial" w:eastAsia="Arial" w:hAnsi="Arial"/>
                <w:sz w:val="18"/>
                <w:szCs w:val="18"/>
                <w:color w:val="auto"/>
              </w:rPr>
              <w:t>Gain on sale of business unit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(982)</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(503)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Share-based compensation and restricted shares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42,818</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14,490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15,809</w:t>
            </w:r>
          </w:p>
        </w:tc>
        <w:tc>
          <w:tcPr>
            <w:tcW w:w="0" w:type="dxa"/>
            <w:vAlign w:val="bottom"/>
          </w:tcPr>
          <w:p>
            <w:pPr>
              <w:spacing w:after="0"/>
              <w:rPr>
                <w:sz w:val="1"/>
                <w:szCs w:val="1"/>
                <w:color w:val="auto"/>
              </w:rPr>
            </w:pPr>
          </w:p>
        </w:tc>
      </w:tr>
      <w:tr>
        <w:trPr>
          <w:trHeight w:val="216"/>
        </w:trPr>
        <w:tc>
          <w:tcPr>
            <w:tcW w:w="7320" w:type="dxa"/>
            <w:vAlign w:val="bottom"/>
          </w:tcPr>
          <w:p>
            <w:pPr>
              <w:ind w:left="560"/>
              <w:spacing w:after="0"/>
              <w:rPr>
                <w:sz w:val="20"/>
                <w:szCs w:val="20"/>
                <w:color w:val="auto"/>
              </w:rPr>
            </w:pPr>
            <w:r>
              <w:rPr>
                <w:rFonts w:ascii="Arial" w:cs="Arial" w:eastAsia="Arial" w:hAnsi="Arial"/>
                <w:sz w:val="18"/>
                <w:szCs w:val="18"/>
                <w:color w:val="auto"/>
              </w:rPr>
              <w:t>Tax benefit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(948)</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(9,581)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Change in trade and other receivables</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(11,676)</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(39,351)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36,466</w:t>
            </w:r>
          </w:p>
        </w:tc>
        <w:tc>
          <w:tcPr>
            <w:tcW w:w="0" w:type="dxa"/>
            <w:vAlign w:val="bottom"/>
          </w:tcPr>
          <w:p>
            <w:pPr>
              <w:spacing w:after="0"/>
              <w:rPr>
                <w:sz w:val="1"/>
                <w:szCs w:val="1"/>
                <w:color w:val="auto"/>
              </w:rPr>
            </w:pPr>
          </w:p>
        </w:tc>
      </w:tr>
      <w:tr>
        <w:trPr>
          <w:trHeight w:val="216"/>
        </w:trPr>
        <w:tc>
          <w:tcPr>
            <w:tcW w:w="7320" w:type="dxa"/>
            <w:vAlign w:val="bottom"/>
          </w:tcPr>
          <w:p>
            <w:pPr>
              <w:ind w:left="560"/>
              <w:spacing w:after="0"/>
              <w:rPr>
                <w:sz w:val="20"/>
                <w:szCs w:val="20"/>
                <w:color w:val="auto"/>
              </w:rPr>
            </w:pPr>
            <w:r>
              <w:rPr>
                <w:rFonts w:ascii="Arial" w:cs="Arial" w:eastAsia="Arial" w:hAnsi="Arial"/>
                <w:sz w:val="18"/>
                <w:szCs w:val="18"/>
                <w:color w:val="auto"/>
              </w:rPr>
              <w:t>Change in trade and other payables</w:t>
            </w:r>
          </w:p>
        </w:tc>
        <w:tc>
          <w:tcPr>
            <w:tcW w:w="1140" w:type="dxa"/>
            <w:vAlign w:val="bottom"/>
          </w:tcPr>
          <w:p>
            <w:pPr>
              <w:jc w:val="right"/>
              <w:spacing w:after="0"/>
              <w:rPr>
                <w:sz w:val="20"/>
                <w:szCs w:val="20"/>
                <w:color w:val="auto"/>
              </w:rPr>
            </w:pPr>
            <w:r>
              <w:rPr>
                <w:rFonts w:ascii="Arial" w:cs="Arial" w:eastAsia="Arial" w:hAnsi="Arial"/>
                <w:sz w:val="18"/>
                <w:szCs w:val="18"/>
                <w:color w:val="auto"/>
              </w:rPr>
              <w:t>26,845</w:t>
            </w:r>
          </w:p>
        </w:tc>
        <w:tc>
          <w:tcPr>
            <w:tcW w:w="1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25,882</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(34,203)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Change in employee benefits</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7320" w:type="dxa"/>
            <w:vAlign w:val="bottom"/>
          </w:tcPr>
          <w:p>
            <w:pPr>
              <w:ind w:left="560"/>
              <w:spacing w:after="0"/>
              <w:rPr>
                <w:sz w:val="20"/>
                <w:szCs w:val="20"/>
                <w:color w:val="auto"/>
              </w:rPr>
            </w:pPr>
            <w:r>
              <w:rPr>
                <w:rFonts w:ascii="Arial" w:cs="Arial" w:eastAsia="Arial" w:hAnsi="Arial"/>
                <w:sz w:val="18"/>
                <w:szCs w:val="18"/>
                <w:color w:val="auto"/>
              </w:rPr>
              <w:t>Income taxes received</w:t>
            </w:r>
          </w:p>
        </w:tc>
        <w:tc>
          <w:tcPr>
            <w:tcW w:w="1140" w:type="dxa"/>
            <w:vAlign w:val="bottom"/>
          </w:tcPr>
          <w:p>
            <w:pPr>
              <w:jc w:val="right"/>
              <w:spacing w:after="0"/>
              <w:rPr>
                <w:sz w:val="20"/>
                <w:szCs w:val="20"/>
                <w:color w:val="auto"/>
              </w:rPr>
            </w:pPr>
            <w:r>
              <w:rPr>
                <w:rFonts w:ascii="Arial" w:cs="Arial" w:eastAsia="Arial" w:hAnsi="Arial"/>
                <w:sz w:val="18"/>
                <w:szCs w:val="18"/>
                <w:color w:val="auto"/>
              </w:rPr>
              <w:t>2,231</w:t>
            </w:r>
          </w:p>
        </w:tc>
        <w:tc>
          <w:tcPr>
            <w:tcW w:w="1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1,168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Income taxes paid</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(3,185)</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(2,855)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(8,089)</w:t>
            </w:r>
          </w:p>
        </w:tc>
        <w:tc>
          <w:tcPr>
            <w:tcW w:w="0" w:type="dxa"/>
            <w:vAlign w:val="bottom"/>
          </w:tcPr>
          <w:p>
            <w:pPr>
              <w:spacing w:after="0"/>
              <w:rPr>
                <w:sz w:val="1"/>
                <w:szCs w:val="1"/>
                <w:color w:val="auto"/>
              </w:rPr>
            </w:pPr>
          </w:p>
        </w:tc>
      </w:tr>
      <w:tr>
        <w:trPr>
          <w:trHeight w:val="216"/>
        </w:trPr>
        <w:tc>
          <w:tcPr>
            <w:tcW w:w="7320" w:type="dxa"/>
            <w:vAlign w:val="bottom"/>
          </w:tcPr>
          <w:p>
            <w:pPr>
              <w:ind w:left="560"/>
              <w:spacing w:after="0"/>
              <w:rPr>
                <w:sz w:val="20"/>
                <w:szCs w:val="20"/>
                <w:color w:val="auto"/>
              </w:rPr>
            </w:pPr>
            <w:r>
              <w:rPr>
                <w:rFonts w:ascii="Arial" w:cs="Arial" w:eastAsia="Arial" w:hAnsi="Arial"/>
                <w:sz w:val="18"/>
                <w:szCs w:val="18"/>
                <w:color w:val="auto"/>
              </w:rPr>
              <w:t>Interest received</w:t>
            </w:r>
          </w:p>
        </w:tc>
        <w:tc>
          <w:tcPr>
            <w:tcW w:w="1140" w:type="dxa"/>
            <w:vAlign w:val="bottom"/>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517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Interest paid</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(570)</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(1,117)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cash provided by operating activities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170,088</w:t>
            </w:r>
          </w:p>
        </w:tc>
        <w:tc>
          <w:tcPr>
            <w:tcW w:w="1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35,163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45,073</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480"/>
              <w:spacing w:after="0"/>
              <w:rPr>
                <w:sz w:val="20"/>
                <w:szCs w:val="20"/>
                <w:color w:val="auto"/>
              </w:rPr>
            </w:pPr>
            <w:r>
              <w:rPr>
                <w:rFonts w:ascii="Arial" w:cs="Arial" w:eastAsia="Arial" w:hAnsi="Arial"/>
                <w:sz w:val="18"/>
                <w:szCs w:val="18"/>
                <w:color w:val="auto"/>
              </w:rPr>
              <w:t>Change in pledged deposits</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229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Leases Receipt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2,885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16"/>
        </w:trPr>
        <w:tc>
          <w:tcPr>
            <w:tcW w:w="7320" w:type="dxa"/>
            <w:vAlign w:val="bottom"/>
          </w:tcPr>
          <w:p>
            <w:pPr>
              <w:ind w:left="480"/>
              <w:spacing w:after="0"/>
              <w:rPr>
                <w:sz w:val="20"/>
                <w:szCs w:val="20"/>
                <w:color w:val="auto"/>
              </w:rPr>
            </w:pPr>
            <w:r>
              <w:rPr>
                <w:rFonts w:ascii="Arial" w:cs="Arial" w:eastAsia="Arial" w:hAnsi="Arial"/>
                <w:sz w:val="18"/>
                <w:szCs w:val="18"/>
                <w:color w:val="auto"/>
              </w:rPr>
              <w:t>Repayment of long-term loans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817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Acquisition of fixed assets</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(3,378)</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16"/>
        </w:trPr>
        <w:tc>
          <w:tcPr>
            <w:tcW w:w="7320" w:type="dxa"/>
            <w:vAlign w:val="bottom"/>
          </w:tcPr>
          <w:p>
            <w:pPr>
              <w:ind w:left="480"/>
              <w:spacing w:after="0"/>
              <w:rPr>
                <w:sz w:val="20"/>
                <w:szCs w:val="20"/>
                <w:color w:val="auto"/>
              </w:rPr>
            </w:pPr>
            <w:r>
              <w:rPr>
                <w:rFonts w:ascii="Arial" w:cs="Arial" w:eastAsia="Arial" w:hAnsi="Arial"/>
                <w:sz w:val="18"/>
                <w:szCs w:val="18"/>
                <w:color w:val="auto"/>
              </w:rPr>
              <w:t>Acquisition and capitalization of intangible assets</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(4,966)</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(4,858)</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Proceeds from sale of intangible assets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320" w:type="dxa"/>
            <w:vAlign w:val="bottom"/>
          </w:tcPr>
          <w:p>
            <w:pPr>
              <w:ind w:left="480"/>
              <w:spacing w:after="0"/>
              <w:rPr>
                <w:sz w:val="20"/>
                <w:szCs w:val="20"/>
                <w:color w:val="auto"/>
              </w:rPr>
            </w:pPr>
            <w:r>
              <w:rPr>
                <w:rFonts w:ascii="Arial" w:cs="Arial" w:eastAsia="Arial" w:hAnsi="Arial"/>
                <w:sz w:val="18"/>
                <w:szCs w:val="18"/>
                <w:color w:val="auto"/>
              </w:rPr>
              <w:t>Proceeds from sale of business unit</w:t>
            </w:r>
          </w:p>
        </w:tc>
        <w:tc>
          <w:tcPr>
            <w:tcW w:w="1140" w:type="dxa"/>
            <w:vAlign w:val="bottom"/>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232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Increase in bank deposit, net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7320" w:type="dxa"/>
            <w:vAlign w:val="bottom"/>
          </w:tcPr>
          <w:p>
            <w:pPr>
              <w:ind w:left="480"/>
              <w:spacing w:after="0"/>
              <w:rPr>
                <w:sz w:val="20"/>
                <w:szCs w:val="20"/>
                <w:color w:val="auto"/>
              </w:rPr>
            </w:pPr>
            <w:r>
              <w:rPr>
                <w:rFonts w:ascii="Arial" w:cs="Arial" w:eastAsia="Arial" w:hAnsi="Arial"/>
                <w:sz w:val="18"/>
                <w:szCs w:val="18"/>
                <w:color w:val="auto"/>
              </w:rPr>
              <w:t>Acquisition of subsidiaries, net of cash acquired</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(11,001)</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6,208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23,714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Pr>
          <w:p>
            <w:pPr>
              <w:ind w:left="480"/>
              <w:spacing w:after="0"/>
              <w:rPr>
                <w:sz w:val="20"/>
                <w:szCs w:val="20"/>
                <w:color w:val="auto"/>
              </w:rPr>
            </w:pPr>
            <w:r>
              <w:rPr>
                <w:rFonts w:ascii="Arial" w:cs="Arial" w:eastAsia="Arial" w:hAnsi="Arial"/>
                <w:sz w:val="18"/>
                <w:szCs w:val="18"/>
                <w:color w:val="auto"/>
              </w:rPr>
              <w:t>Net cash provided by (used in) investing activities</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(16,487)</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4,919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19,438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Repayment of loans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(17,273)</w:t>
            </w:r>
          </w:p>
        </w:tc>
        <w:tc>
          <w:tcPr>
            <w:tcW w:w="0" w:type="dxa"/>
            <w:vAlign w:val="bottom"/>
          </w:tcPr>
          <w:p>
            <w:pPr>
              <w:spacing w:after="0"/>
              <w:rPr>
                <w:sz w:val="1"/>
                <w:szCs w:val="1"/>
                <w:color w:val="auto"/>
              </w:rPr>
            </w:pPr>
          </w:p>
        </w:tc>
      </w:tr>
      <w:tr>
        <w:trPr>
          <w:trHeight w:val="216"/>
        </w:trPr>
        <w:tc>
          <w:tcPr>
            <w:tcW w:w="7320" w:type="dxa"/>
            <w:vAlign w:val="bottom"/>
          </w:tcPr>
          <w:p>
            <w:pPr>
              <w:ind w:left="480"/>
              <w:spacing w:after="0"/>
              <w:rPr>
                <w:sz w:val="20"/>
                <w:szCs w:val="20"/>
                <w:color w:val="auto"/>
              </w:rPr>
            </w:pPr>
            <w:r>
              <w:rPr>
                <w:rFonts w:ascii="Arial" w:cs="Arial" w:eastAsia="Arial" w:hAnsi="Arial"/>
                <w:sz w:val="18"/>
                <w:szCs w:val="18"/>
                <w:color w:val="auto"/>
              </w:rPr>
              <w:t>Acquisition of own shares</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(6,643)</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(9,965)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(24,737)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Proceeds from exercise of share options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949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16"/>
        </w:trPr>
        <w:tc>
          <w:tcPr>
            <w:tcW w:w="7320" w:type="dxa"/>
            <w:vAlign w:val="bottom"/>
          </w:tcPr>
          <w:p>
            <w:pPr>
              <w:ind w:left="480"/>
              <w:spacing w:after="0"/>
              <w:rPr>
                <w:sz w:val="20"/>
                <w:szCs w:val="20"/>
                <w:color w:val="auto"/>
              </w:rPr>
            </w:pPr>
            <w:r>
              <w:rPr>
                <w:rFonts w:ascii="Arial" w:cs="Arial" w:eastAsia="Arial" w:hAnsi="Arial"/>
                <w:sz w:val="18"/>
                <w:szCs w:val="18"/>
                <w:color w:val="auto"/>
              </w:rPr>
              <w:t>Leases repayment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(10,009)</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(13,351)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(12,607)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Issuance of shares, net of issuance cost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134,558</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Pr>
          <w:p>
            <w:pPr>
              <w:ind w:left="480"/>
              <w:spacing w:after="0"/>
              <w:rPr>
                <w:sz w:val="20"/>
                <w:szCs w:val="20"/>
                <w:color w:val="auto"/>
              </w:rPr>
            </w:pPr>
            <w:r>
              <w:rPr>
                <w:rFonts w:ascii="Arial" w:cs="Arial" w:eastAsia="Arial" w:hAnsi="Arial"/>
                <w:sz w:val="18"/>
                <w:szCs w:val="18"/>
                <w:color w:val="auto"/>
              </w:rPr>
              <w:t>Payment of financial liability</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(2,414)</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(used in) financing activities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116,862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(22,367)</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(52,793)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increase in cash and cash equivalents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17,715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11,718</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AS OF THE BEGINNING OF YEAR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97,463</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79,047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67,073</w:t>
            </w:r>
          </w:p>
        </w:tc>
        <w:tc>
          <w:tcPr>
            <w:tcW w:w="0" w:type="dxa"/>
            <w:vAlign w:val="bottom"/>
          </w:tcPr>
          <w:p>
            <w:pPr>
              <w:spacing w:after="0"/>
              <w:rPr>
                <w:sz w:val="1"/>
                <w:szCs w:val="1"/>
                <w:color w:val="auto"/>
              </w:rPr>
            </w:pPr>
          </w:p>
        </w:tc>
      </w:tr>
      <w:tr>
        <w:trPr>
          <w:trHeight w:val="198"/>
        </w:trPr>
        <w:tc>
          <w:tcPr>
            <w:tcW w:w="7320" w:type="dxa"/>
            <w:vAlign w:val="bottom"/>
          </w:tcPr>
          <w:p>
            <w:pPr>
              <w:ind w:left="40"/>
              <w:spacing w:after="0" w:line="198" w:lineRule="exact"/>
              <w:rPr>
                <w:sz w:val="20"/>
                <w:szCs w:val="20"/>
                <w:color w:val="auto"/>
              </w:rPr>
            </w:pPr>
            <w:r>
              <w:rPr>
                <w:rFonts w:ascii="Arial" w:cs="Arial" w:eastAsia="Arial" w:hAnsi="Arial"/>
                <w:sz w:val="18"/>
                <w:szCs w:val="18"/>
                <w:b w:val="1"/>
                <w:bCs w:val="1"/>
                <w:color w:val="auto"/>
              </w:rPr>
              <w:t>EFFECT OF EXCHANGE RATE FLUCTUATIONS ON CASH AND CASH</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320" w:type="dxa"/>
            <w:vAlign w:val="bottom"/>
          </w:tcPr>
          <w:p>
            <w:pPr>
              <w:ind w:left="240"/>
              <w:spacing w:after="0"/>
              <w:rPr>
                <w:sz w:val="20"/>
                <w:szCs w:val="20"/>
                <w:color w:val="auto"/>
              </w:rPr>
            </w:pPr>
            <w:r>
              <w:rPr>
                <w:rFonts w:ascii="Arial" w:cs="Arial" w:eastAsia="Arial" w:hAnsi="Arial"/>
                <w:sz w:val="18"/>
                <w:szCs w:val="18"/>
                <w:b w:val="1"/>
                <w:bCs w:val="1"/>
                <w:color w:val="auto"/>
              </w:rPr>
              <w:t>EQUIVALENTS</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(209)</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701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AS OF THE END OF YEAR</w:t>
            </w:r>
          </w:p>
        </w:tc>
        <w:tc>
          <w:tcPr>
            <w:tcW w:w="1140" w:type="dxa"/>
            <w:vAlign w:val="bottom"/>
          </w:tcPr>
          <w:p>
            <w:pPr>
              <w:jc w:val="right"/>
              <w:spacing w:after="0"/>
              <w:rPr>
                <w:sz w:val="20"/>
                <w:szCs w:val="20"/>
                <w:color w:val="auto"/>
              </w:rPr>
            </w:pPr>
            <w:r>
              <w:rPr>
                <w:rFonts w:ascii="Arial" w:cs="Arial" w:eastAsia="Arial" w:hAnsi="Arial"/>
                <w:sz w:val="18"/>
                <w:szCs w:val="18"/>
                <w:color w:val="auto"/>
              </w:rPr>
              <w:t>367,717</w:t>
            </w:r>
          </w:p>
        </w:tc>
        <w:tc>
          <w:tcPr>
            <w:tcW w:w="1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97,463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79,047</w:t>
            </w:r>
          </w:p>
        </w:tc>
        <w:tc>
          <w:tcPr>
            <w:tcW w:w="0" w:type="dxa"/>
            <w:vAlign w:val="bottom"/>
          </w:tcPr>
          <w:p>
            <w:pPr>
              <w:spacing w:after="0"/>
              <w:rPr>
                <w:sz w:val="1"/>
                <w:szCs w:val="1"/>
                <w:color w:val="auto"/>
              </w:rPr>
            </w:pPr>
          </w:p>
        </w:tc>
      </w:tr>
      <w:tr>
        <w:trPr>
          <w:trHeight w:val="21"/>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w w:val="96"/>
              </w:rPr>
              <w:t>The accompanying notes are an integral part of these consolidated financial statements.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73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tcPr>
          <w:p>
            <w:pPr>
              <w:ind w:left="5460"/>
              <w:spacing w:after="0"/>
              <w:rPr>
                <w:sz w:val="20"/>
                <w:szCs w:val="20"/>
                <w:color w:val="auto"/>
              </w:rPr>
            </w:pPr>
            <w:r>
              <w:rPr>
                <w:rFonts w:ascii="Arial" w:cs="Arial" w:eastAsia="Arial" w:hAnsi="Arial"/>
                <w:sz w:val="18"/>
                <w:szCs w:val="18"/>
                <w:color w:val="auto"/>
              </w:rPr>
              <w:t>F - 7</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7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97"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GENERAL</w:t>
      </w:r>
    </w:p>
    <w:p>
      <w:pPr>
        <w:spacing w:after="0" w:line="207" w:lineRule="exact"/>
        <w:rPr>
          <w:sz w:val="20"/>
          <w:szCs w:val="20"/>
          <w:color w:val="auto"/>
        </w:rPr>
      </w:pPr>
    </w:p>
    <w:p>
      <w:pPr>
        <w:ind w:left="1520" w:hanging="500"/>
        <w:spacing w:after="0"/>
        <w:tabs>
          <w:tab w:leader="none" w:pos="15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Reporting entity:</w:t>
      </w:r>
    </w:p>
    <w:p>
      <w:pPr>
        <w:spacing w:after="0" w:line="229" w:lineRule="exact"/>
        <w:rPr>
          <w:rFonts w:ascii="Arial" w:cs="Arial" w:eastAsia="Arial" w:hAnsi="Arial"/>
          <w:sz w:val="18"/>
          <w:szCs w:val="18"/>
          <w:b w:val="1"/>
          <w:bCs w:val="1"/>
          <w:color w:val="auto"/>
        </w:rPr>
      </w:pPr>
    </w:p>
    <w:p>
      <w:pPr>
        <w:jc w:val="both"/>
        <w:ind w:left="15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Tremor International Ltd. (the “Company” or “Tremor International”), formerly known as Taptica International Ltd., was incorporated in Israel under the laws of the State of Israel on March 20, 2007. The ordinary shares of the Company are listed on the AIM Market of the London Stock Exchange and the American Depositary Shares ("ADSs"), each of which represents two ordinary shares of the Company, represented by the American Depositary Receipts ("ADR") are listed on the Nasdaq Capital Market (see Note 1d). The address of the registered office is 82 Yigal Alon Street Tel-Aviv, 6789124, Israel.</w:t>
      </w:r>
    </w:p>
    <w:p>
      <w:pPr>
        <w:spacing w:after="0" w:line="176" w:lineRule="exact"/>
        <w:rPr>
          <w:rFonts w:ascii="Arial" w:cs="Arial" w:eastAsia="Arial" w:hAnsi="Arial"/>
          <w:sz w:val="18"/>
          <w:szCs w:val="18"/>
          <w:b w:val="1"/>
          <w:bCs w:val="1"/>
          <w:color w:val="auto"/>
        </w:rPr>
      </w:pPr>
    </w:p>
    <w:p>
      <w:pPr>
        <w:jc w:val="both"/>
        <w:ind w:left="152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Tremor International is a global Company offering an end-to-end software platform that supports a wide range of media types (e.g., video, display, etc.) and devices (e.g., mobile, Connected TVs, streaming devices, desktop, etc.), creating an efficient marketplace where advertisers (buyers) are able to purchase high quality advertising inventory from publishers (sellers) at scale. Tremor Video Inc. (“Tremor Video’’), a wholly owned subsidiary, is the Company’s Demand Side Platform (“DSP”) providing full-service and self-managed marketplace access to advertisers and agencies in order to execute their digital marketing campaigns in real time across various ad formats. Unruly Group, LLC (Former name RhythmOne, LLC), provides access to the Sell Side Platform (“SSP”) which is designed to monetize digital inventory for publishers and app developers by enabling their content to have the necessary code and requirements for programmatic advertising integration. The SSP provides access to significant amounts of data, unique demand, and a comprehensive product suite to drive more effective inventory management and revenue optimization. The Company also provides a Data Management Platform (“DMP”) solution which integrates both DSP and SSP solutions enabling advertisers and publishers to use data from various sources in order to optimize results of their advertising campaigns. Tremor International Ltd. is headquartered in Israel and maintains offices throughout the US, Canada, EMEA and Asia-Pacific.</w:t>
      </w:r>
    </w:p>
    <w:p>
      <w:pPr>
        <w:spacing w:after="0" w:line="167" w:lineRule="exact"/>
        <w:rPr>
          <w:rFonts w:ascii="Arial" w:cs="Arial" w:eastAsia="Arial" w:hAnsi="Arial"/>
          <w:sz w:val="18"/>
          <w:szCs w:val="18"/>
          <w:b w:val="1"/>
          <w:bCs w:val="1"/>
          <w:color w:val="auto"/>
        </w:rPr>
      </w:pPr>
    </w:p>
    <w:p>
      <w:pPr>
        <w:jc w:val="both"/>
        <w:ind w:left="1520" w:hanging="500"/>
        <w:spacing w:after="0" w:line="293" w:lineRule="auto"/>
        <w:tabs>
          <w:tab w:leader="none" w:pos="15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On April 1, 2019, the Company completed an acquisition transaction with RhythmOne and on January 4, 2020, the Company completed an acquisition transaction with Unruly. Following the acquisition of RhythmOne and Unruly, the Company invested and developed capabilities both in the DSP and SSP solutions which launched in 2020 to offer an end-to-end platform that provides customers access to an advertising marketplace in an efficient and scalable manner utilizing machine learning, artificial intelligence and advanced algorithms. As a result of those acquisitions and their influence on the Company’s operation and other changes in the industry practice, the Company has changed revenue presentation as of 2020 to a net basis with respect to its programmatic activity.</w:t>
      </w:r>
    </w:p>
    <w:p>
      <w:pPr>
        <w:spacing w:after="0" w:line="164" w:lineRule="exact"/>
        <w:rPr>
          <w:rFonts w:ascii="Arial" w:cs="Arial" w:eastAsia="Arial" w:hAnsi="Arial"/>
          <w:sz w:val="16"/>
          <w:szCs w:val="16"/>
          <w:color w:val="auto"/>
        </w:rPr>
      </w:pPr>
    </w:p>
    <w:p>
      <w:pPr>
        <w:jc w:val="both"/>
        <w:ind w:left="1520" w:hanging="500"/>
        <w:spacing w:after="0" w:line="255" w:lineRule="auto"/>
        <w:tabs>
          <w:tab w:leader="none" w:pos="1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global spread of COVID-19, which was declared a global pandemic by the World Health Organization in March 2020, has created significant volatility, global macro-economic uncertainty, and disruption in the business and financial markets. The COVID-19 pandemic and efforts to control its spread have curtailed the movement of people, goods, and services worldwide, including in the regions in which we and our customers and partners operate, and are impacting economic activity and financial markets. The spread of the COVID-19 pandemic has resulted in, regional quarantines, labor shortages or stoppages, changes in consumer purchasing patterns, and overall economic instability.</w:t>
      </w:r>
    </w:p>
    <w:p>
      <w:pPr>
        <w:spacing w:after="0" w:line="192" w:lineRule="exact"/>
        <w:rPr>
          <w:sz w:val="20"/>
          <w:szCs w:val="20"/>
          <w:color w:val="auto"/>
        </w:rPr>
      </w:pPr>
    </w:p>
    <w:p>
      <w:pPr>
        <w:ind w:left="1520"/>
        <w:spacing w:after="0" w:line="277" w:lineRule="auto"/>
        <w:rPr>
          <w:sz w:val="20"/>
          <w:szCs w:val="20"/>
          <w:color w:val="auto"/>
        </w:rPr>
      </w:pPr>
      <w:r>
        <w:rPr>
          <w:rFonts w:ascii="Arial" w:cs="Arial" w:eastAsia="Arial" w:hAnsi="Arial"/>
          <w:sz w:val="18"/>
          <w:szCs w:val="18"/>
          <w:color w:val="auto"/>
        </w:rPr>
        <w:t>The Company has introduced a number of measures to mitigate the impact of COVID-and continues to monitor and assess the impact of the COVID pandemic on its operation, its customers and potential customers.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GENERAL (Cont.)</w:t>
      </w:r>
    </w:p>
    <w:p>
      <w:pPr>
        <w:spacing w:after="0" w:line="225" w:lineRule="exact"/>
        <w:rPr>
          <w:sz w:val="20"/>
          <w:szCs w:val="20"/>
          <w:color w:val="auto"/>
        </w:rPr>
      </w:pPr>
    </w:p>
    <w:p>
      <w:pPr>
        <w:ind w:left="1520" w:hanging="500"/>
        <w:spacing w:after="0"/>
        <w:tabs>
          <w:tab w:leader="none" w:pos="15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Material events in the reporting period:</w:t>
      </w:r>
    </w:p>
    <w:p>
      <w:pPr>
        <w:spacing w:after="0" w:line="229" w:lineRule="exact"/>
        <w:rPr>
          <w:rFonts w:ascii="Arial" w:cs="Arial" w:eastAsia="Arial" w:hAnsi="Arial"/>
          <w:sz w:val="18"/>
          <w:szCs w:val="18"/>
          <w:b w:val="1"/>
          <w:bCs w:val="1"/>
          <w:color w:val="auto"/>
        </w:rPr>
      </w:pPr>
    </w:p>
    <w:p>
      <w:pPr>
        <w:jc w:val="both"/>
        <w:ind w:left="2040" w:hanging="507"/>
        <w:spacing w:after="0" w:line="254" w:lineRule="auto"/>
        <w:tabs>
          <w:tab w:leader="none" w:pos="20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On March 25, 2021, the Company paid USD 1,294 thousand to ADI founders for its exercised part of the call option, a lower amount than was originally scheduled. D.A. Consortium, Inc., a minority shareholder of ADI, exercised, effective March 5, 2021, its put option pursuant to the Shareholders Agreement dated July 17, 2016, as amended November 20, 2020, to sell to Taptica Japan GK, a wholly owned subsidiary, its entire shareholding in ADI, reflecting 2,120 Shares of ADI, for a purchase price equal to seven times the actual net profit of ADI for the last fiscal year, reflecting USD 1,120 thousand which was paid on April 2021. Following the closing of the put option exercise, the Company owns through its subsidiary 100% of the share capital of ADI.</w:t>
      </w:r>
    </w:p>
    <w:p>
      <w:pPr>
        <w:spacing w:after="0" w:line="194" w:lineRule="exact"/>
        <w:rPr>
          <w:rFonts w:ascii="Arial" w:cs="Arial" w:eastAsia="Arial" w:hAnsi="Arial"/>
          <w:sz w:val="18"/>
          <w:szCs w:val="18"/>
          <w:color w:val="auto"/>
        </w:rPr>
      </w:pPr>
    </w:p>
    <w:p>
      <w:pPr>
        <w:jc w:val="both"/>
        <w:ind w:left="2040" w:hanging="507"/>
        <w:spacing w:after="0" w:line="254" w:lineRule="auto"/>
        <w:tabs>
          <w:tab w:leader="none" w:pos="20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On June 22, 2021, the Company completed its initial public offering in the U.S. of 6,768,953 American Depositary Shares ("ADSs"), at a public offering price of USD 19.00 per ADS, for aggregate proceeds of USD 128.6 million before deducting underwriting discounts and commissions (the “Nasdaq IPO”). Each ADS represents two Ordinary Shares of the Company. The ADSs began trading on the Nasdaq Global Market on June 18, 2021, under the ticker symbol “TRMR”. The Company also granted the underwriters of the Nasdaq IPO a 30-day option to purchase additional up to 1,015,342 ADSs from the Company at the initial public offering price of USD 19.00 per ADS, which the underwriters subsequently exercised in full on July 15, 2021, for total additional consideration of USD 19.3 million in gross proceeds to the Company before deducting underwriting discounts and commissions.</w:t>
      </w:r>
    </w:p>
    <w:p>
      <w:pPr>
        <w:spacing w:after="0" w:line="191" w:lineRule="exact"/>
        <w:rPr>
          <w:rFonts w:ascii="Arial" w:cs="Arial" w:eastAsia="Arial" w:hAnsi="Arial"/>
          <w:sz w:val="18"/>
          <w:szCs w:val="18"/>
          <w:color w:val="auto"/>
        </w:rPr>
      </w:pPr>
    </w:p>
    <w:p>
      <w:pPr>
        <w:jc w:val="both"/>
        <w:ind w:left="2040" w:hanging="507"/>
        <w:spacing w:after="0" w:line="270" w:lineRule="auto"/>
        <w:tabs>
          <w:tab w:leader="none" w:pos="2040" w:val="left"/>
        </w:tabs>
        <w:numPr>
          <w:ilvl w:val="1"/>
          <w:numId w:val="64"/>
        </w:numPr>
        <w:rPr>
          <w:rFonts w:ascii="Arial" w:cs="Arial" w:eastAsia="Arial" w:hAnsi="Arial"/>
          <w:sz w:val="17"/>
          <w:szCs w:val="17"/>
          <w:color w:val="auto"/>
        </w:rPr>
      </w:pPr>
      <w:r>
        <w:rPr>
          <w:rFonts w:ascii="Arial" w:cs="Arial" w:eastAsia="Arial" w:hAnsi="Arial"/>
          <w:sz w:val="17"/>
          <w:szCs w:val="17"/>
          <w:color w:val="auto"/>
        </w:rPr>
        <w:t>Effective upon completion of the Nasdaq IPO, on June 22, 2021, the Company granted an aggregate of 4,725,000 Restricted Share Units (“RSUs”) and 2,025,000 Performance Share Units (“PSUs”) to its three Executive Directors, pursuant to the terms of the Company’s 2017 Equity Incentive Plan and the Company’s Global Share Incentive Plan (2011). The grant of the RSUs and PSUs awards was approved by the Company’s shareholders on April 30, 2021 (subject to the completion of the Nasdaq IPO). The RSU awards vest gradually over a period of three years, with 8.33% of each such grant vesting each quarter, subject to the executive continuing to be employed by a Company on the applicable vesting date. The PSU awards vest gradually over a period of three years, with 33.33% of each grant vesting each year, subject to (i) the executive continuing to be employed by a Company on the applicable vesting date, and (ii) compliance with performance-based metrics determined by the Compensation Committee of the Board of Directors of the Company.</w:t>
      </w:r>
    </w:p>
    <w:p>
      <w:pPr>
        <w:spacing w:after="0" w:line="181" w:lineRule="exact"/>
        <w:rPr>
          <w:sz w:val="20"/>
          <w:szCs w:val="20"/>
          <w:color w:val="auto"/>
        </w:rPr>
      </w:pPr>
    </w:p>
    <w:p>
      <w:pPr>
        <w:ind w:left="2040" w:right="20"/>
        <w:spacing w:after="0" w:line="308" w:lineRule="auto"/>
        <w:rPr>
          <w:sz w:val="20"/>
          <w:szCs w:val="20"/>
          <w:color w:val="auto"/>
        </w:rPr>
      </w:pPr>
      <w:r>
        <w:rPr>
          <w:rFonts w:ascii="Arial" w:cs="Arial" w:eastAsia="Arial" w:hAnsi="Arial"/>
          <w:sz w:val="17"/>
          <w:szCs w:val="17"/>
          <w:color w:val="auto"/>
        </w:rPr>
        <w:t>The fair value of each RSU and PSU granted to the Executive Directors as of April 30, 2021, is 720 pence (approximately USD 10.02) per Ordinary Share, based on the market value of the Company’s quoted Ordinary Shares on AIM.</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GENERAL (Cont.)</w:t>
      </w:r>
    </w:p>
    <w:p>
      <w:pPr>
        <w:spacing w:after="0" w:line="229" w:lineRule="exact"/>
        <w:rPr>
          <w:sz w:val="20"/>
          <w:szCs w:val="20"/>
          <w:color w:val="auto"/>
        </w:rPr>
      </w:pPr>
    </w:p>
    <w:p>
      <w:pPr>
        <w:jc w:val="both"/>
        <w:ind w:left="2040"/>
        <w:spacing w:after="0" w:line="277" w:lineRule="auto"/>
        <w:rPr>
          <w:sz w:val="20"/>
          <w:szCs w:val="20"/>
          <w:color w:val="auto"/>
        </w:rPr>
      </w:pPr>
      <w:r>
        <w:rPr>
          <w:rFonts w:ascii="Arial" w:cs="Arial" w:eastAsia="Arial" w:hAnsi="Arial"/>
          <w:sz w:val="18"/>
          <w:szCs w:val="18"/>
          <w:color w:val="auto"/>
        </w:rPr>
        <w:t>The estimated aggregated cost of the 4,725,000 RSUs and 2,025,000 PSUs awards, assuming 100% vesting, will be approximately USD 67 million over the three-year vesting period commencing June 22, 2021.</w:t>
      </w:r>
    </w:p>
    <w:p>
      <w:pPr>
        <w:spacing w:after="0" w:line="170" w:lineRule="exact"/>
        <w:rPr>
          <w:sz w:val="20"/>
          <w:szCs w:val="20"/>
          <w:color w:val="auto"/>
        </w:rPr>
      </w:pPr>
    </w:p>
    <w:p>
      <w:pPr>
        <w:jc w:val="both"/>
        <w:ind w:left="2040"/>
        <w:spacing w:after="0" w:line="255" w:lineRule="auto"/>
        <w:rPr>
          <w:sz w:val="20"/>
          <w:szCs w:val="20"/>
          <w:color w:val="auto"/>
        </w:rPr>
      </w:pPr>
      <w:r>
        <w:rPr>
          <w:rFonts w:ascii="Arial" w:cs="Arial" w:eastAsia="Arial" w:hAnsi="Arial"/>
          <w:sz w:val="18"/>
          <w:szCs w:val="18"/>
          <w:color w:val="auto"/>
        </w:rPr>
        <w:t>In addition, effective upon completion of the Nasdaq IPO on June 22, 2021, the Company’s three Executive Directors are entitled to a special bonus in recognition for their special contribution to the completion of the Nasdaq IPO in the amount of USD 500,000, as approved by the Company’s shareholders on April 30, 2021 (subject to the completion of the Nasdaq IPO). The special bonuses payable to the Executive Directors were part of an aggregate USD 2.9 million special bonus for the Company executives and employees, as approved and allocated by the Company’s Board of Directors (out of an aggregate USD 5 million that was initially approved).</w:t>
      </w:r>
    </w:p>
    <w:p>
      <w:pPr>
        <w:spacing w:after="0" w:line="192" w:lineRule="exact"/>
        <w:rPr>
          <w:sz w:val="20"/>
          <w:szCs w:val="20"/>
          <w:color w:val="auto"/>
        </w:rPr>
      </w:pPr>
    </w:p>
    <w:p>
      <w:pPr>
        <w:jc w:val="both"/>
        <w:ind w:left="2040"/>
        <w:spacing w:after="0" w:line="286" w:lineRule="auto"/>
        <w:rPr>
          <w:sz w:val="20"/>
          <w:szCs w:val="20"/>
          <w:color w:val="auto"/>
        </w:rPr>
      </w:pPr>
      <w:r>
        <w:rPr>
          <w:rFonts w:ascii="Arial" w:cs="Arial" w:eastAsia="Arial" w:hAnsi="Arial"/>
          <w:sz w:val="17"/>
          <w:szCs w:val="17"/>
          <w:color w:val="auto"/>
        </w:rPr>
        <w:t>On April 22, 2021, the Company’s shareholders approved an increase of 6,500,000 Ordinary Shares to the aggregate available pool of the Company’s 2017 Equity Incentive Plan and the Company’s Global Share Incentive Plan (2011) (with 80% of the increase allocated to the 2017 Plan and 20% of the increase allocated to the 2011 Plan).</w:t>
      </w:r>
    </w:p>
    <w:p>
      <w:pPr>
        <w:spacing w:after="0" w:line="165" w:lineRule="exact"/>
        <w:rPr>
          <w:sz w:val="20"/>
          <w:szCs w:val="20"/>
          <w:color w:val="auto"/>
        </w:rPr>
      </w:pPr>
    </w:p>
    <w:p>
      <w:pPr>
        <w:ind w:left="2040" w:hanging="507"/>
        <w:spacing w:after="0"/>
        <w:tabs>
          <w:tab w:leader="none" w:pos="20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On October 18, 2021, the Company completed the acquisition of SpearAd (the "SpearAd") (See Note 20).</w:t>
      </w:r>
    </w:p>
    <w:p>
      <w:pPr>
        <w:spacing w:after="0" w:line="225" w:lineRule="exact"/>
        <w:rPr>
          <w:rFonts w:ascii="Arial" w:cs="Arial" w:eastAsia="Arial" w:hAnsi="Arial"/>
          <w:sz w:val="18"/>
          <w:szCs w:val="18"/>
          <w:color w:val="auto"/>
        </w:rPr>
      </w:pPr>
    </w:p>
    <w:p>
      <w:pPr>
        <w:jc w:val="both"/>
        <w:ind w:left="2040"/>
        <w:spacing w:after="0" w:line="263" w:lineRule="auto"/>
        <w:rPr>
          <w:rFonts w:ascii="Arial" w:cs="Arial" w:eastAsia="Arial" w:hAnsi="Arial"/>
          <w:sz w:val="18"/>
          <w:szCs w:val="18"/>
          <w:color w:val="auto"/>
        </w:rPr>
      </w:pPr>
      <w:r>
        <w:rPr>
          <w:rFonts w:ascii="Arial" w:cs="Arial" w:eastAsia="Arial" w:hAnsi="Arial"/>
          <w:sz w:val="18"/>
          <w:szCs w:val="18"/>
          <w:color w:val="auto"/>
        </w:rPr>
        <w:t>SpearAd's ad server technology will be integrated into Tremor's Unruly SSP, enabling CTV header bidding, channel inventory and ad pod management - complementing the Company's existing robust end-to-end technology stack, which also includes the Tremor Video DSP.</w:t>
      </w:r>
    </w:p>
    <w:p>
      <w:pPr>
        <w:spacing w:after="0" w:line="179" w:lineRule="exact"/>
        <w:rPr>
          <w:rFonts w:ascii="Arial" w:cs="Arial" w:eastAsia="Arial" w:hAnsi="Arial"/>
          <w:sz w:val="18"/>
          <w:szCs w:val="18"/>
          <w:color w:val="auto"/>
        </w:rPr>
      </w:pPr>
    </w:p>
    <w:p>
      <w:pPr>
        <w:ind w:left="1520" w:hanging="500"/>
        <w:spacing w:after="0"/>
        <w:tabs>
          <w:tab w:leader="none" w:pos="15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1520"/>
        <w:spacing w:after="0"/>
        <w:rPr>
          <w:rFonts w:ascii="Arial" w:cs="Arial" w:eastAsia="Arial" w:hAnsi="Arial"/>
          <w:sz w:val="18"/>
          <w:szCs w:val="18"/>
          <w:b w:val="1"/>
          <w:bCs w:val="1"/>
          <w:color w:val="auto"/>
        </w:rPr>
      </w:pPr>
      <w:r>
        <w:rPr>
          <w:rFonts w:ascii="Arial" w:cs="Arial" w:eastAsia="Arial" w:hAnsi="Arial"/>
          <w:sz w:val="18"/>
          <w:szCs w:val="18"/>
          <w:color w:val="auto"/>
        </w:rPr>
        <w:t>In these financial statements –</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ind w:left="1360"/>
              <w:spacing w:after="0"/>
              <w:rPr>
                <w:sz w:val="20"/>
                <w:szCs w:val="20"/>
                <w:color w:val="auto"/>
              </w:rPr>
            </w:pPr>
            <w:r>
              <w:rPr>
                <w:rFonts w:ascii="Arial" w:cs="Arial" w:eastAsia="Arial" w:hAnsi="Arial"/>
                <w:sz w:val="18"/>
                <w:szCs w:val="18"/>
                <w:color w:val="auto"/>
              </w:rPr>
              <w:t>The Company</w:t>
            </w: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100" w:type="dxa"/>
            <w:vAlign w:val="bottom"/>
          </w:tcPr>
          <w:p>
            <w:pPr>
              <w:ind w:left="280"/>
              <w:spacing w:after="0"/>
              <w:rPr>
                <w:sz w:val="20"/>
                <w:szCs w:val="20"/>
                <w:color w:val="auto"/>
              </w:rPr>
            </w:pPr>
            <w:r>
              <w:rPr>
                <w:rFonts w:ascii="Arial" w:cs="Arial" w:eastAsia="Arial" w:hAnsi="Arial"/>
                <w:sz w:val="18"/>
                <w:szCs w:val="18"/>
                <w:color w:val="auto"/>
              </w:rPr>
              <w:t>Tremor International Ltd.</w:t>
            </w:r>
          </w:p>
        </w:tc>
      </w:tr>
      <w:tr>
        <w:trPr>
          <w:trHeight w:val="432"/>
        </w:trPr>
        <w:tc>
          <w:tcPr>
            <w:tcW w:w="2600" w:type="dxa"/>
            <w:vAlign w:val="bottom"/>
          </w:tcPr>
          <w:p>
            <w:pPr>
              <w:ind w:left="1360"/>
              <w:spacing w:after="0"/>
              <w:rPr>
                <w:sz w:val="20"/>
                <w:szCs w:val="20"/>
                <w:color w:val="auto"/>
              </w:rPr>
            </w:pPr>
            <w:r>
              <w:rPr>
                <w:rFonts w:ascii="Arial" w:cs="Arial" w:eastAsia="Arial" w:hAnsi="Arial"/>
                <w:sz w:val="18"/>
                <w:szCs w:val="18"/>
                <w:color w:val="auto"/>
              </w:rPr>
              <w:t>The Group</w:t>
            </w: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100" w:type="dxa"/>
            <w:vAlign w:val="bottom"/>
          </w:tcPr>
          <w:p>
            <w:pPr>
              <w:ind w:left="280"/>
              <w:spacing w:after="0"/>
              <w:rPr>
                <w:sz w:val="20"/>
                <w:szCs w:val="20"/>
                <w:color w:val="auto"/>
              </w:rPr>
            </w:pPr>
            <w:r>
              <w:rPr>
                <w:rFonts w:ascii="Arial" w:cs="Arial" w:eastAsia="Arial" w:hAnsi="Arial"/>
                <w:sz w:val="18"/>
                <w:szCs w:val="18"/>
                <w:color w:val="auto"/>
              </w:rPr>
              <w:t>Tremor International Ltd. and its subsidiaries.</w:t>
            </w:r>
          </w:p>
        </w:tc>
      </w:tr>
      <w:tr>
        <w:trPr>
          <w:trHeight w:val="418"/>
        </w:trPr>
        <w:tc>
          <w:tcPr>
            <w:tcW w:w="2600" w:type="dxa"/>
            <w:vAlign w:val="bottom"/>
          </w:tcPr>
          <w:p>
            <w:pPr>
              <w:ind w:left="1360"/>
              <w:spacing w:after="0"/>
              <w:rPr>
                <w:sz w:val="20"/>
                <w:szCs w:val="20"/>
                <w:color w:val="auto"/>
              </w:rPr>
            </w:pPr>
            <w:r>
              <w:rPr>
                <w:rFonts w:ascii="Arial" w:cs="Arial" w:eastAsia="Arial" w:hAnsi="Arial"/>
                <w:sz w:val="18"/>
                <w:szCs w:val="18"/>
                <w:color w:val="auto"/>
              </w:rPr>
              <w:t>Subsidiaries</w:t>
            </w: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100" w:type="dxa"/>
            <w:vAlign w:val="bottom"/>
          </w:tcPr>
          <w:p>
            <w:pPr>
              <w:ind w:left="280"/>
              <w:spacing w:after="0"/>
              <w:rPr>
                <w:sz w:val="20"/>
                <w:szCs w:val="20"/>
                <w:color w:val="auto"/>
              </w:rPr>
            </w:pPr>
            <w:r>
              <w:rPr>
                <w:rFonts w:ascii="Arial" w:cs="Arial" w:eastAsia="Arial" w:hAnsi="Arial"/>
                <w:sz w:val="18"/>
                <w:szCs w:val="18"/>
                <w:color w:val="auto"/>
                <w:w w:val="92"/>
              </w:rPr>
              <w:t>Companies, the financial statements of which are fully consolidated, directly, or indirectly, with the financial</w:t>
            </w:r>
          </w:p>
        </w:tc>
      </w:tr>
      <w:tr>
        <w:trPr>
          <w:trHeight w:val="230"/>
        </w:trPr>
        <w:tc>
          <w:tcPr>
            <w:tcW w:w="2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100" w:type="dxa"/>
            <w:vAlign w:val="bottom"/>
          </w:tcPr>
          <w:p>
            <w:pPr>
              <w:ind w:left="280"/>
              <w:spacing w:after="0"/>
              <w:rPr>
                <w:sz w:val="20"/>
                <w:szCs w:val="20"/>
                <w:color w:val="auto"/>
              </w:rPr>
            </w:pPr>
            <w:r>
              <w:rPr>
                <w:rFonts w:ascii="Arial" w:cs="Arial" w:eastAsia="Arial" w:hAnsi="Arial"/>
                <w:sz w:val="18"/>
                <w:szCs w:val="18"/>
                <w:color w:val="auto"/>
              </w:rPr>
              <w:t>statements of the Company such as Unruly Group LLC, Unruly Holding Ltd, Tremor Video Inc.</w:t>
            </w:r>
          </w:p>
        </w:tc>
      </w:tr>
      <w:tr>
        <w:trPr>
          <w:trHeight w:val="432"/>
        </w:trPr>
        <w:tc>
          <w:tcPr>
            <w:tcW w:w="2600" w:type="dxa"/>
            <w:vAlign w:val="bottom"/>
          </w:tcPr>
          <w:p>
            <w:pPr>
              <w:ind w:left="1360"/>
              <w:spacing w:after="0"/>
              <w:rPr>
                <w:sz w:val="20"/>
                <w:szCs w:val="20"/>
                <w:color w:val="auto"/>
              </w:rPr>
            </w:pPr>
            <w:r>
              <w:rPr>
                <w:rFonts w:ascii="Arial" w:cs="Arial" w:eastAsia="Arial" w:hAnsi="Arial"/>
                <w:sz w:val="18"/>
                <w:szCs w:val="18"/>
                <w:color w:val="auto"/>
              </w:rPr>
              <w:t>Related party</w:t>
            </w: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100" w:type="dxa"/>
            <w:vAlign w:val="bottom"/>
          </w:tcPr>
          <w:p>
            <w:pPr>
              <w:ind w:left="280"/>
              <w:spacing w:after="0"/>
              <w:rPr>
                <w:sz w:val="20"/>
                <w:szCs w:val="20"/>
                <w:color w:val="auto"/>
              </w:rPr>
            </w:pPr>
            <w:r>
              <w:rPr>
                <w:rFonts w:ascii="Arial" w:cs="Arial" w:eastAsia="Arial" w:hAnsi="Arial"/>
                <w:sz w:val="18"/>
                <w:szCs w:val="18"/>
                <w:color w:val="auto"/>
              </w:rPr>
              <w:t>As defined by IAS 24, “Related Party Disclosures”.</w:t>
            </w:r>
          </w:p>
        </w:tc>
      </w:tr>
      <w:tr>
        <w:trPr>
          <w:trHeight w:val="432"/>
        </w:trPr>
        <w:tc>
          <w:tcPr>
            <w:tcW w:w="2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00" w:type="dxa"/>
            <w:vAlign w:val="bottom"/>
          </w:tcPr>
          <w:p>
            <w:pPr>
              <w:ind w:left="2260"/>
              <w:spacing w:after="0"/>
              <w:rPr>
                <w:sz w:val="20"/>
                <w:szCs w:val="20"/>
                <w:color w:val="auto"/>
              </w:rPr>
            </w:pPr>
            <w:r>
              <w:rPr>
                <w:rFonts w:ascii="Arial" w:cs="Arial" w:eastAsia="Arial" w:hAnsi="Arial"/>
                <w:sz w:val="18"/>
                <w:szCs w:val="18"/>
                <w:color w:val="auto"/>
              </w:rPr>
              <w:t>F - 10</w:t>
            </w:r>
          </w:p>
        </w:tc>
      </w:tr>
      <w:tr>
        <w:trPr>
          <w:trHeight w:val="61"/>
        </w:trPr>
        <w:tc>
          <w:tcPr>
            <w:tcW w:w="26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297"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BASIS OF PREPARATION</w:t>
      </w:r>
    </w:p>
    <w:p>
      <w:pPr>
        <w:spacing w:after="0" w:line="225" w:lineRule="exact"/>
        <w:rPr>
          <w:sz w:val="20"/>
          <w:szCs w:val="20"/>
          <w:color w:val="auto"/>
        </w:rPr>
      </w:pPr>
    </w:p>
    <w:p>
      <w:pPr>
        <w:ind w:left="1520" w:hanging="500"/>
        <w:spacing w:after="0"/>
        <w:tabs>
          <w:tab w:leader="none" w:pos="15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of compliance:</w:t>
      </w:r>
    </w:p>
    <w:p>
      <w:pPr>
        <w:spacing w:after="0" w:line="229" w:lineRule="exact"/>
        <w:rPr>
          <w:rFonts w:ascii="Arial" w:cs="Arial" w:eastAsia="Arial" w:hAnsi="Arial"/>
          <w:sz w:val="18"/>
          <w:szCs w:val="18"/>
          <w:b w:val="1"/>
          <w:bCs w:val="1"/>
          <w:color w:val="auto"/>
        </w:rPr>
      </w:pPr>
    </w:p>
    <w:p>
      <w:pPr>
        <w:ind w:left="1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have been prepared in accordance with International Financial Reporting Standards (IFRS) as issued by the International Accounting Standards Board ("IASB").</w:t>
      </w:r>
    </w:p>
    <w:p>
      <w:pPr>
        <w:spacing w:after="0" w:line="170" w:lineRule="exact"/>
        <w:rPr>
          <w:rFonts w:ascii="Arial" w:cs="Arial" w:eastAsia="Arial" w:hAnsi="Arial"/>
          <w:sz w:val="18"/>
          <w:szCs w:val="18"/>
          <w:b w:val="1"/>
          <w:bCs w:val="1"/>
          <w:color w:val="auto"/>
        </w:rPr>
      </w:pPr>
    </w:p>
    <w:p>
      <w:pPr>
        <w:ind w:left="1520"/>
        <w:spacing w:after="0"/>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were authorized for issue by the Company’s Board of Directors on March 15, 2022.</w:t>
      </w:r>
    </w:p>
    <w:p>
      <w:pPr>
        <w:spacing w:after="0" w:line="221" w:lineRule="exact"/>
        <w:rPr>
          <w:rFonts w:ascii="Arial" w:cs="Arial" w:eastAsia="Arial" w:hAnsi="Arial"/>
          <w:sz w:val="18"/>
          <w:szCs w:val="18"/>
          <w:b w:val="1"/>
          <w:bCs w:val="1"/>
          <w:color w:val="auto"/>
        </w:rPr>
      </w:pPr>
    </w:p>
    <w:p>
      <w:pPr>
        <w:ind w:left="1520" w:hanging="500"/>
        <w:spacing w:after="0"/>
        <w:tabs>
          <w:tab w:leader="none" w:pos="15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and presentation currency:</w:t>
      </w:r>
    </w:p>
    <w:p>
      <w:pPr>
        <w:spacing w:after="0" w:line="229" w:lineRule="exact"/>
        <w:rPr>
          <w:rFonts w:ascii="Arial" w:cs="Arial" w:eastAsia="Arial" w:hAnsi="Arial"/>
          <w:sz w:val="18"/>
          <w:szCs w:val="18"/>
          <w:b w:val="1"/>
          <w:bCs w:val="1"/>
          <w:color w:val="auto"/>
        </w:rPr>
      </w:pPr>
    </w:p>
    <w:p>
      <w:pPr>
        <w:jc w:val="both"/>
        <w:ind w:left="15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These consolidated financial statements are presented in US Dollars (USD), which is the Company’s functional currency, and have been rounded to the nearest thousand, except when otherwise indicated. The USD is the currency that represents the principal economic environment in which the Company operates.</w:t>
      </w:r>
    </w:p>
    <w:p>
      <w:pPr>
        <w:spacing w:after="0" w:line="179" w:lineRule="exact"/>
        <w:rPr>
          <w:rFonts w:ascii="Arial" w:cs="Arial" w:eastAsia="Arial" w:hAnsi="Arial"/>
          <w:sz w:val="18"/>
          <w:szCs w:val="18"/>
          <w:b w:val="1"/>
          <w:bCs w:val="1"/>
          <w:color w:val="auto"/>
        </w:rPr>
      </w:pPr>
    </w:p>
    <w:p>
      <w:pPr>
        <w:ind w:left="1520" w:hanging="500"/>
        <w:spacing w:after="0"/>
        <w:tabs>
          <w:tab w:leader="none" w:pos="15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measurement:</w:t>
      </w:r>
    </w:p>
    <w:p>
      <w:pPr>
        <w:spacing w:after="0" w:line="229" w:lineRule="exact"/>
        <w:rPr>
          <w:rFonts w:ascii="Arial" w:cs="Arial" w:eastAsia="Arial" w:hAnsi="Arial"/>
          <w:sz w:val="18"/>
          <w:szCs w:val="18"/>
          <w:b w:val="1"/>
          <w:bCs w:val="1"/>
          <w:color w:val="auto"/>
        </w:rPr>
      </w:pPr>
    </w:p>
    <w:p>
      <w:pPr>
        <w:ind w:left="1520"/>
        <w:spacing w:after="0"/>
        <w:rPr>
          <w:rFonts w:ascii="Arial" w:cs="Arial" w:eastAsia="Arial" w:hAnsi="Arial"/>
          <w:sz w:val="18"/>
          <w:szCs w:val="18"/>
          <w:b w:val="1"/>
          <w:bCs w:val="1"/>
          <w:color w:val="auto"/>
        </w:rPr>
      </w:pPr>
      <w:r>
        <w:rPr>
          <w:rFonts w:ascii="Arial" w:cs="Arial" w:eastAsia="Arial" w:hAnsi="Arial"/>
          <w:sz w:val="17"/>
          <w:szCs w:val="17"/>
          <w:color w:val="auto"/>
        </w:rPr>
        <w:t>The consolidated financial statements have been prepared on a historical cost basis except for the following assets and liabilities:</w:t>
      </w:r>
    </w:p>
    <w:p>
      <w:pPr>
        <w:spacing w:after="0" w:line="236" w:lineRule="exact"/>
        <w:rPr>
          <w:rFonts w:ascii="Arial" w:cs="Arial" w:eastAsia="Arial" w:hAnsi="Arial"/>
          <w:sz w:val="18"/>
          <w:szCs w:val="18"/>
          <w:b w:val="1"/>
          <w:bCs w:val="1"/>
          <w:color w:val="auto"/>
        </w:rPr>
      </w:pPr>
    </w:p>
    <w:p>
      <w:pPr>
        <w:ind w:left="1800" w:hanging="267"/>
        <w:spacing w:after="0"/>
        <w:tabs>
          <w:tab w:leader="none" w:pos="18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Deferred and current tax assets and liabilities</w:t>
      </w:r>
    </w:p>
    <w:p>
      <w:pPr>
        <w:spacing w:after="0" w:line="225" w:lineRule="exact"/>
        <w:rPr>
          <w:rFonts w:ascii="Arial" w:cs="Arial" w:eastAsia="Arial" w:hAnsi="Arial"/>
          <w:sz w:val="18"/>
          <w:szCs w:val="18"/>
          <w:color w:val="auto"/>
        </w:rPr>
      </w:pPr>
    </w:p>
    <w:p>
      <w:pPr>
        <w:ind w:left="1800" w:hanging="267"/>
        <w:spacing w:after="0"/>
        <w:tabs>
          <w:tab w:leader="none" w:pos="18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Put option to non-controlling interests</w:t>
      </w:r>
    </w:p>
    <w:p>
      <w:pPr>
        <w:spacing w:after="0" w:line="225" w:lineRule="exact"/>
        <w:rPr>
          <w:rFonts w:ascii="Arial" w:cs="Arial" w:eastAsia="Arial" w:hAnsi="Arial"/>
          <w:sz w:val="18"/>
          <w:szCs w:val="18"/>
          <w:color w:val="auto"/>
        </w:rPr>
      </w:pPr>
    </w:p>
    <w:p>
      <w:pPr>
        <w:ind w:left="1800" w:hanging="267"/>
        <w:spacing w:after="0"/>
        <w:tabs>
          <w:tab w:leader="none" w:pos="18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Provisions</w:t>
      </w:r>
    </w:p>
    <w:p>
      <w:pPr>
        <w:spacing w:after="0" w:line="225" w:lineRule="exact"/>
        <w:rPr>
          <w:rFonts w:ascii="Arial" w:cs="Arial" w:eastAsia="Arial" w:hAnsi="Arial"/>
          <w:sz w:val="18"/>
          <w:szCs w:val="18"/>
          <w:color w:val="auto"/>
        </w:rPr>
      </w:pPr>
    </w:p>
    <w:p>
      <w:pPr>
        <w:ind w:left="1800" w:hanging="267"/>
        <w:spacing w:after="0"/>
        <w:tabs>
          <w:tab w:leader="none" w:pos="18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Derivatives</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For further information regarding the measurement of these assets and liabilities see Note 3 regarding significant accounting policies.</w:t>
      </w:r>
    </w:p>
    <w:p>
      <w:pPr>
        <w:spacing w:after="0" w:line="244" w:lineRule="exact"/>
        <w:rPr>
          <w:sz w:val="20"/>
          <w:szCs w:val="20"/>
          <w:color w:val="auto"/>
        </w:rPr>
      </w:pPr>
    </w:p>
    <w:p>
      <w:pPr>
        <w:ind w:left="1520" w:hanging="500"/>
        <w:spacing w:after="0"/>
        <w:tabs>
          <w:tab w:leader="none" w:pos="15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 and judgments:</w:t>
      </w:r>
    </w:p>
    <w:p>
      <w:pPr>
        <w:spacing w:after="0" w:line="229" w:lineRule="exact"/>
        <w:rPr>
          <w:rFonts w:ascii="Arial" w:cs="Arial" w:eastAsia="Arial" w:hAnsi="Arial"/>
          <w:sz w:val="18"/>
          <w:szCs w:val="18"/>
          <w:b w:val="1"/>
          <w:bCs w:val="1"/>
          <w:color w:val="auto"/>
        </w:rPr>
      </w:pPr>
    </w:p>
    <w:p>
      <w:pPr>
        <w:jc w:val="both"/>
        <w:ind w:left="15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IFRS requires management of the Group to make judgments, estimates and assumptions that affect the application of accounting policies and the reported amounts of assets, liabilities, income and expenses. Actual results may differ from these estimates.</w:t>
      </w:r>
    </w:p>
    <w:p>
      <w:pPr>
        <w:spacing w:after="0" w:line="183" w:lineRule="exact"/>
        <w:rPr>
          <w:rFonts w:ascii="Arial" w:cs="Arial" w:eastAsia="Arial" w:hAnsi="Arial"/>
          <w:sz w:val="18"/>
          <w:szCs w:val="18"/>
          <w:b w:val="1"/>
          <w:bCs w:val="1"/>
          <w:color w:val="auto"/>
        </w:rPr>
      </w:pPr>
    </w:p>
    <w:p>
      <w:pPr>
        <w:jc w:val="both"/>
        <w:ind w:left="15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accounting estimates used in the preparation of the Group’s financial statements requires management of the Group to make assumptions regarding circumstances and events that involve considerable uncertainty. Management of the Group prepares estimates on the basis of past experience, various facts, external circumstances, and reasonable assumptions according to the pertinent circumstances of each estimate.</w:t>
      </w:r>
    </w:p>
    <w:p>
      <w:pPr>
        <w:spacing w:after="0" w:line="187" w:lineRule="exact"/>
        <w:rPr>
          <w:sz w:val="20"/>
          <w:szCs w:val="20"/>
          <w:color w:val="auto"/>
        </w:rPr>
      </w:pPr>
    </w:p>
    <w:p>
      <w:pPr>
        <w:ind w:left="1520"/>
        <w:spacing w:after="0" w:line="277" w:lineRule="auto"/>
        <w:rPr>
          <w:sz w:val="20"/>
          <w:szCs w:val="20"/>
          <w:color w:val="auto"/>
        </w:rPr>
      </w:pPr>
      <w:r>
        <w:rPr>
          <w:rFonts w:ascii="Arial" w:cs="Arial" w:eastAsia="Arial" w:hAnsi="Arial"/>
          <w:sz w:val="18"/>
          <w:szCs w:val="18"/>
          <w:color w:val="auto"/>
        </w:rPr>
        <w:t>Estimates and underlying assumptions are reviewed on an ongoing basis. Revisions to accounting estimates are recognized in the period in which the estimates are revised and in any future periods affected.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BASIS OF PREPARATION (Cont.)</w:t>
      </w:r>
    </w:p>
    <w:p>
      <w:pPr>
        <w:spacing w:after="0" w:line="229" w:lineRule="exact"/>
        <w:rPr>
          <w:sz w:val="20"/>
          <w:szCs w:val="20"/>
          <w:color w:val="auto"/>
        </w:rPr>
      </w:pPr>
    </w:p>
    <w:p>
      <w:pPr>
        <w:jc w:val="both"/>
        <w:ind w:left="1600"/>
        <w:spacing w:after="0" w:line="275" w:lineRule="auto"/>
        <w:rPr>
          <w:sz w:val="20"/>
          <w:szCs w:val="20"/>
          <w:color w:val="auto"/>
        </w:rPr>
      </w:pPr>
      <w:r>
        <w:rPr>
          <w:rFonts w:ascii="Arial" w:cs="Arial" w:eastAsia="Arial" w:hAnsi="Arial"/>
          <w:sz w:val="17"/>
          <w:szCs w:val="17"/>
          <w:color w:val="auto"/>
        </w:rPr>
        <w:t>Information about assumptions made by the Group with respect to the future and other reasons for uncertainty with respect to estimates that have a significant risk of resulting in a material adjustment to carrying amounts of assets and liabilities in the next financial year are included in Note 6, on leases, with respect to determining the lease term and determining the discount rate of a lease liability, in Note 7, on intangible assets, with respect to the accounting of software development capitalization, in Note 4, on Income Tax, with respect to uncertain tax position and Note 20, on subsidiaries, with respect to business combinations.</w:t>
      </w:r>
    </w:p>
    <w:p>
      <w:pPr>
        <w:spacing w:after="0" w:line="172" w:lineRule="exact"/>
        <w:rPr>
          <w:sz w:val="20"/>
          <w:szCs w:val="20"/>
          <w:color w:val="auto"/>
        </w:rPr>
      </w:pPr>
    </w:p>
    <w:p>
      <w:pPr>
        <w:ind w:left="1520" w:hanging="500"/>
        <w:spacing w:after="0"/>
        <w:tabs>
          <w:tab w:leader="none" w:pos="15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Determination of fair value:</w:t>
      </w:r>
    </w:p>
    <w:p>
      <w:pPr>
        <w:spacing w:after="0" w:line="229" w:lineRule="exact"/>
        <w:rPr>
          <w:sz w:val="20"/>
          <w:szCs w:val="20"/>
          <w:color w:val="auto"/>
        </w:rPr>
      </w:pPr>
    </w:p>
    <w:p>
      <w:pPr>
        <w:jc w:val="both"/>
        <w:ind w:left="1600"/>
        <w:spacing w:after="0" w:line="286" w:lineRule="auto"/>
        <w:rPr>
          <w:sz w:val="20"/>
          <w:szCs w:val="20"/>
          <w:color w:val="auto"/>
        </w:rPr>
      </w:pPr>
      <w:r>
        <w:rPr>
          <w:rFonts w:ascii="Arial" w:cs="Arial" w:eastAsia="Arial" w:hAnsi="Arial"/>
          <w:sz w:val="17"/>
          <w:szCs w:val="17"/>
          <w:color w:val="auto"/>
        </w:rPr>
        <w:t>Preparation of the financial statements requires the Group to determine the fair value of certain assets and liabilities. When determining the fair value of an asset or liability, the Group uses observable market data as much as possible. There are three levels of fair value measurements in the fair value hierarchy that are based on the data used in the measurement, as follows:</w:t>
      </w:r>
    </w:p>
    <w:p>
      <w:pPr>
        <w:spacing w:after="0" w:line="165" w:lineRule="exact"/>
        <w:rPr>
          <w:sz w:val="20"/>
          <w:szCs w:val="20"/>
          <w:color w:val="auto"/>
        </w:rPr>
      </w:pPr>
    </w:p>
    <w:p>
      <w:pPr>
        <w:ind w:left="1940" w:hanging="407"/>
        <w:spacing w:after="0"/>
        <w:tabs>
          <w:tab w:leader="none" w:pos="19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for identical assets or liabilities.</w:t>
      </w:r>
    </w:p>
    <w:p>
      <w:pPr>
        <w:spacing w:after="0" w:line="225" w:lineRule="exact"/>
        <w:rPr>
          <w:rFonts w:ascii="Arial" w:cs="Arial" w:eastAsia="Arial" w:hAnsi="Arial"/>
          <w:sz w:val="18"/>
          <w:szCs w:val="18"/>
          <w:color w:val="auto"/>
        </w:rPr>
      </w:pPr>
    </w:p>
    <w:p>
      <w:pPr>
        <w:ind w:left="1940" w:hanging="407"/>
        <w:spacing w:after="0"/>
        <w:tabs>
          <w:tab w:leader="none" w:pos="19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Level 2: inputs other than quoted prices included within Level 1 that are observable, either directly or indirectly.</w:t>
      </w:r>
    </w:p>
    <w:p>
      <w:pPr>
        <w:spacing w:after="0" w:line="225" w:lineRule="exact"/>
        <w:rPr>
          <w:rFonts w:ascii="Arial" w:cs="Arial" w:eastAsia="Arial" w:hAnsi="Arial"/>
          <w:sz w:val="18"/>
          <w:szCs w:val="18"/>
          <w:color w:val="auto"/>
        </w:rPr>
      </w:pPr>
    </w:p>
    <w:p>
      <w:pPr>
        <w:ind w:left="1940" w:hanging="407"/>
        <w:spacing w:after="0"/>
        <w:tabs>
          <w:tab w:leader="none" w:pos="19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Level 3: inputs that are not based on observable market data (unobservable inputs).</w:t>
      </w:r>
    </w:p>
    <w:p>
      <w:pPr>
        <w:spacing w:after="0" w:line="22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Further information about the assumptions that were used to determine fair value is included in the following notes:</w:t>
      </w:r>
    </w:p>
    <w:p>
      <w:pPr>
        <w:spacing w:after="0" w:line="225" w:lineRule="exact"/>
        <w:rPr>
          <w:sz w:val="20"/>
          <w:szCs w:val="20"/>
          <w:color w:val="auto"/>
        </w:rPr>
      </w:pPr>
    </w:p>
    <w:p>
      <w:pPr>
        <w:ind w:left="1960" w:hanging="427"/>
        <w:spacing w:after="0"/>
        <w:tabs>
          <w:tab w:leader="none" w:pos="1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Note 17, on share-based compensation;</w:t>
      </w:r>
    </w:p>
    <w:p>
      <w:pPr>
        <w:spacing w:after="0" w:line="225" w:lineRule="exact"/>
        <w:rPr>
          <w:rFonts w:ascii="Arial" w:cs="Arial" w:eastAsia="Arial" w:hAnsi="Arial"/>
          <w:sz w:val="18"/>
          <w:szCs w:val="18"/>
          <w:color w:val="auto"/>
        </w:rPr>
      </w:pPr>
    </w:p>
    <w:p>
      <w:pPr>
        <w:ind w:left="1960" w:hanging="427"/>
        <w:spacing w:after="0"/>
        <w:tabs>
          <w:tab w:leader="none" w:pos="1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Note 18, on financial instruments; and</w:t>
      </w:r>
    </w:p>
    <w:p>
      <w:pPr>
        <w:spacing w:after="0" w:line="225" w:lineRule="exact"/>
        <w:rPr>
          <w:rFonts w:ascii="Arial" w:cs="Arial" w:eastAsia="Arial" w:hAnsi="Arial"/>
          <w:sz w:val="18"/>
          <w:szCs w:val="18"/>
          <w:color w:val="auto"/>
        </w:rPr>
      </w:pPr>
    </w:p>
    <w:p>
      <w:pPr>
        <w:ind w:left="1960" w:hanging="427"/>
        <w:spacing w:after="0"/>
        <w:tabs>
          <w:tab w:leader="none" w:pos="1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Note 20, on subsidiaries (regarding business combinations).</w:t>
      </w:r>
    </w:p>
    <w:p>
      <w:pPr>
        <w:spacing w:after="0" w:line="221"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b w:val="1"/>
          <w:bCs w:val="1"/>
          <w:color w:val="auto"/>
        </w:rPr>
        <w:t>f.</w:t>
      </w:r>
      <w:r>
        <w:rPr>
          <w:rFonts w:ascii="Arial" w:cs="Arial" w:eastAsia="Arial" w:hAnsi="Arial"/>
          <w:sz w:val="16"/>
          <w:szCs w:val="16"/>
          <w:b w:val="1"/>
          <w:bCs w:val="1"/>
          <w:color w:val="auto"/>
        </w:rPr>
        <w:t>Correction of immaterial error</w:t>
      </w:r>
    </w:p>
    <w:p>
      <w:pPr>
        <w:spacing w:after="0" w:line="229"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The Group corrected an immaterial error as of December 31, 2020 by presenting deferred tax liabilities net from deferred tax assets.</w:t>
      </w:r>
    </w:p>
    <w:p>
      <w:pPr>
        <w:spacing w:after="0" w:line="24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change did not have any effect on the profit for the year ended 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The accounting policies set out below have been applied consistently for all periods presented in these consolidated financial statements and have been applied consistently by Group entities.</w:t>
      </w:r>
    </w:p>
    <w:p>
      <w:pPr>
        <w:spacing w:after="0" w:line="166" w:lineRule="exact"/>
        <w:rPr>
          <w:sz w:val="20"/>
          <w:szCs w:val="20"/>
          <w:color w:val="auto"/>
        </w:rPr>
      </w:pPr>
    </w:p>
    <w:p>
      <w:pPr>
        <w:ind w:left="1520" w:hanging="500"/>
        <w:spacing w:after="0"/>
        <w:tabs>
          <w:tab w:leader="none" w:pos="152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pacing w:after="0" w:line="229" w:lineRule="exact"/>
        <w:rPr>
          <w:rFonts w:ascii="Arial" w:cs="Arial" w:eastAsia="Arial" w:hAnsi="Arial"/>
          <w:sz w:val="18"/>
          <w:szCs w:val="18"/>
          <w:b w:val="1"/>
          <w:bCs w:val="1"/>
          <w:color w:val="auto"/>
        </w:rPr>
      </w:pPr>
    </w:p>
    <w:p>
      <w:pPr>
        <w:ind w:left="2040" w:hanging="507"/>
        <w:spacing w:after="0"/>
        <w:tabs>
          <w:tab w:leader="none" w:pos="20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225" w:lineRule="exact"/>
        <w:rPr>
          <w:sz w:val="20"/>
          <w:szCs w:val="20"/>
          <w:color w:val="auto"/>
        </w:rPr>
      </w:pPr>
    </w:p>
    <w:p>
      <w:pPr>
        <w:jc w:val="both"/>
        <w:ind w:left="2060"/>
        <w:spacing w:after="0" w:line="259" w:lineRule="auto"/>
        <w:rPr>
          <w:sz w:val="20"/>
          <w:szCs w:val="20"/>
          <w:color w:val="auto"/>
        </w:rPr>
      </w:pPr>
      <w:r>
        <w:rPr>
          <w:rFonts w:ascii="Arial" w:cs="Arial" w:eastAsia="Arial" w:hAnsi="Arial"/>
          <w:sz w:val="18"/>
          <w:szCs w:val="18"/>
          <w:color w:val="auto"/>
        </w:rPr>
        <w:t>The Group implements the acquisition method to all business combinations. The acquisition date is the date on which the acquirer obtains control over the acquiree. Control exists when the Group is exposed, or has rights, to variable returns from its involvement with the acquiree and it has the ability to affect those returns through its power over the acquiree. Substantive rights held by the Group and others are taken into account when assessing control.</w:t>
      </w:r>
    </w:p>
    <w:p>
      <w:pPr>
        <w:spacing w:after="0" w:line="187" w:lineRule="exact"/>
        <w:rPr>
          <w:sz w:val="20"/>
          <w:szCs w:val="20"/>
          <w:color w:val="auto"/>
        </w:rPr>
      </w:pPr>
    </w:p>
    <w:p>
      <w:pPr>
        <w:jc w:val="both"/>
        <w:ind w:left="2060"/>
        <w:spacing w:after="0" w:line="277" w:lineRule="auto"/>
        <w:rPr>
          <w:sz w:val="20"/>
          <w:szCs w:val="20"/>
          <w:color w:val="auto"/>
        </w:rPr>
      </w:pPr>
      <w:r>
        <w:rPr>
          <w:rFonts w:ascii="Arial" w:cs="Arial" w:eastAsia="Arial" w:hAnsi="Arial"/>
          <w:sz w:val="18"/>
          <w:szCs w:val="18"/>
          <w:color w:val="auto"/>
        </w:rPr>
        <w:t>The Group recognizes goodwill on acquisition according to the fair value of the consideration transferred less the net amount of the identifiable assets acquired and the liabilities assumed.</w:t>
      </w:r>
    </w:p>
    <w:p>
      <w:pPr>
        <w:spacing w:after="0" w:line="170" w:lineRule="exact"/>
        <w:rPr>
          <w:sz w:val="20"/>
          <w:szCs w:val="20"/>
          <w:color w:val="auto"/>
        </w:rPr>
      </w:pPr>
    </w:p>
    <w:p>
      <w:pPr>
        <w:jc w:val="both"/>
        <w:ind w:left="2060"/>
        <w:spacing w:after="0" w:line="301" w:lineRule="auto"/>
        <w:rPr>
          <w:sz w:val="20"/>
          <w:szCs w:val="20"/>
          <w:color w:val="auto"/>
        </w:rPr>
      </w:pPr>
      <w:r>
        <w:rPr>
          <w:rFonts w:ascii="Arial" w:cs="Arial" w:eastAsia="Arial" w:hAnsi="Arial"/>
          <w:sz w:val="16"/>
          <w:szCs w:val="16"/>
          <w:color w:val="auto"/>
        </w:rPr>
        <w:t>The consideration transferred includes the fair value of the assets transferred to the previous owners of the acquiree, the liabilities incurred by the acquirer to the previous owners of the acquiree and equity instruments that were issued by the Group. In addition, the consideration transferred includes the fair value of any contingent consideration. After the acquisition date, the Group recognizes changes in the fair value of contingent consideration classified as a financial liability in profit or loss.</w:t>
      </w:r>
    </w:p>
    <w:p>
      <w:pPr>
        <w:spacing w:after="0" w:line="157" w:lineRule="exact"/>
        <w:rPr>
          <w:sz w:val="20"/>
          <w:szCs w:val="20"/>
          <w:color w:val="auto"/>
        </w:rPr>
      </w:pPr>
    </w:p>
    <w:p>
      <w:pPr>
        <w:jc w:val="both"/>
        <w:ind w:left="2060"/>
        <w:spacing w:after="0" w:line="293" w:lineRule="auto"/>
        <w:rPr>
          <w:sz w:val="20"/>
          <w:szCs w:val="20"/>
          <w:color w:val="auto"/>
        </w:rPr>
      </w:pPr>
      <w:r>
        <w:rPr>
          <w:rFonts w:ascii="Arial" w:cs="Arial" w:eastAsia="Arial" w:hAnsi="Arial"/>
          <w:sz w:val="16"/>
          <w:szCs w:val="16"/>
          <w:color w:val="auto"/>
        </w:rPr>
        <w:t>If share-based compensation awards (replacement awards) are required to be exchanged for awards held by the acquiree’s employees (acquiree’s awards) and relate to past services, then all or a portion of the amount of the acquirer’s replacement awards is included in measuring the consideration transferred in the business combination. This determination is based on the market-based value of the replacement awards compared with the market-based value of the acquiree’s awards and the extent to which the replacement awards relate to past and/or future service. The unvested portion of the replacement award that is attributed to post-acquisition services is recognized as a compensation cost following the business combination.</w:t>
      </w:r>
    </w:p>
    <w:p>
      <w:pPr>
        <w:spacing w:after="0" w:line="164" w:lineRule="exact"/>
        <w:rPr>
          <w:sz w:val="20"/>
          <w:szCs w:val="20"/>
          <w:color w:val="auto"/>
        </w:rPr>
      </w:pPr>
    </w:p>
    <w:p>
      <w:pPr>
        <w:jc w:val="both"/>
        <w:ind w:left="2060"/>
        <w:spacing w:after="0" w:line="342" w:lineRule="auto"/>
        <w:rPr>
          <w:sz w:val="20"/>
          <w:szCs w:val="20"/>
          <w:color w:val="auto"/>
        </w:rPr>
      </w:pPr>
      <w:r>
        <w:rPr>
          <w:rFonts w:ascii="Arial" w:cs="Arial" w:eastAsia="Arial" w:hAnsi="Arial"/>
          <w:sz w:val="16"/>
          <w:szCs w:val="16"/>
          <w:color w:val="auto"/>
        </w:rPr>
        <w:t>Costs associated with the acquisitions that were incurred by the acquirer in the business combination such as: finder’s fees, advisory, legal, valuation and other professional or consulting fees are expensed in the period the services are received.</w:t>
      </w:r>
    </w:p>
    <w:p>
      <w:pPr>
        <w:spacing w:after="0" w:line="124" w:lineRule="exact"/>
        <w:rPr>
          <w:sz w:val="20"/>
          <w:szCs w:val="20"/>
          <w:color w:val="auto"/>
        </w:rPr>
      </w:pPr>
    </w:p>
    <w:p>
      <w:pPr>
        <w:ind w:left="2040" w:hanging="507"/>
        <w:spacing w:after="0"/>
        <w:tabs>
          <w:tab w:leader="none" w:pos="2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225" w:lineRule="exact"/>
        <w:rPr>
          <w:sz w:val="20"/>
          <w:szCs w:val="20"/>
          <w:color w:val="auto"/>
        </w:rPr>
      </w:pPr>
    </w:p>
    <w:p>
      <w:pPr>
        <w:ind w:left="2060"/>
        <w:spacing w:after="0" w:line="277" w:lineRule="auto"/>
        <w:rPr>
          <w:sz w:val="20"/>
          <w:szCs w:val="20"/>
          <w:color w:val="auto"/>
        </w:rPr>
      </w:pPr>
      <w:r>
        <w:rPr>
          <w:rFonts w:ascii="Arial" w:cs="Arial" w:eastAsia="Arial" w:hAnsi="Arial"/>
          <w:sz w:val="18"/>
          <w:szCs w:val="18"/>
          <w:color w:val="auto"/>
        </w:rPr>
        <w:t>Subsidiaries are entities controlled by the Group. The financial statements of the subsidiaries are included in the consolidated financial statements from the date that control commenced, until the date that control is lost.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229" w:lineRule="exact"/>
        <w:rPr>
          <w:sz w:val="20"/>
          <w:szCs w:val="20"/>
          <w:color w:val="auto"/>
        </w:rPr>
      </w:pPr>
    </w:p>
    <w:p>
      <w:pPr>
        <w:ind w:left="2040" w:hanging="507"/>
        <w:spacing w:after="0"/>
        <w:tabs>
          <w:tab w:leader="none" w:pos="20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Transactions eliminated on consolidation:</w:t>
      </w:r>
    </w:p>
    <w:p>
      <w:pPr>
        <w:spacing w:after="0" w:line="225" w:lineRule="exact"/>
        <w:rPr>
          <w:sz w:val="20"/>
          <w:szCs w:val="20"/>
          <w:color w:val="auto"/>
        </w:rPr>
      </w:pPr>
    </w:p>
    <w:p>
      <w:pPr>
        <w:ind w:left="2060"/>
        <w:spacing w:after="0" w:line="277" w:lineRule="auto"/>
        <w:rPr>
          <w:sz w:val="20"/>
          <w:szCs w:val="20"/>
          <w:color w:val="auto"/>
        </w:rPr>
      </w:pPr>
      <w:r>
        <w:rPr>
          <w:rFonts w:ascii="Arial" w:cs="Arial" w:eastAsia="Arial" w:hAnsi="Arial"/>
          <w:sz w:val="18"/>
          <w:szCs w:val="18"/>
          <w:color w:val="auto"/>
        </w:rPr>
        <w:t>Intra-group balances and transactions, and any unrealized income and expenses arising from intra-group transactions, are eliminated in preparing the consolidated financial statements.</w:t>
      </w:r>
    </w:p>
    <w:p>
      <w:pPr>
        <w:spacing w:after="0" w:line="170" w:lineRule="exact"/>
        <w:rPr>
          <w:sz w:val="20"/>
          <w:szCs w:val="20"/>
          <w:color w:val="auto"/>
        </w:rPr>
      </w:pPr>
    </w:p>
    <w:p>
      <w:pPr>
        <w:ind w:left="2040" w:hanging="507"/>
        <w:spacing w:after="0"/>
        <w:tabs>
          <w:tab w:leader="none" w:pos="20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Issuance of put option to non-controlling interests:</w:t>
      </w:r>
    </w:p>
    <w:p>
      <w:pPr>
        <w:spacing w:after="0" w:line="225" w:lineRule="exact"/>
        <w:rPr>
          <w:sz w:val="20"/>
          <w:szCs w:val="20"/>
          <w:color w:val="auto"/>
        </w:rPr>
      </w:pPr>
    </w:p>
    <w:p>
      <w:pPr>
        <w:jc w:val="both"/>
        <w:ind w:left="2060"/>
        <w:spacing w:after="0" w:line="263" w:lineRule="auto"/>
        <w:rPr>
          <w:sz w:val="20"/>
          <w:szCs w:val="20"/>
          <w:color w:val="auto"/>
        </w:rPr>
      </w:pPr>
      <w:r>
        <w:rPr>
          <w:rFonts w:ascii="Arial" w:cs="Arial" w:eastAsia="Arial" w:hAnsi="Arial"/>
          <w:sz w:val="18"/>
          <w:szCs w:val="18"/>
          <w:color w:val="auto"/>
        </w:rPr>
        <w:t>A put option issued by the Company to non-controlling interests that is settled in cash is recognized as a liability at the present value of the exercise price under the anticipated acquisition method. In subsequent periods, the Group elected to account for the changes in the value of the liability in respect of put options in Equity.</w:t>
      </w:r>
    </w:p>
    <w:p>
      <w:pPr>
        <w:spacing w:after="0" w:line="184" w:lineRule="exact"/>
        <w:rPr>
          <w:sz w:val="20"/>
          <w:szCs w:val="20"/>
          <w:color w:val="auto"/>
        </w:rPr>
      </w:pPr>
    </w:p>
    <w:p>
      <w:pPr>
        <w:jc w:val="both"/>
        <w:ind w:left="2060"/>
        <w:spacing w:after="0" w:line="277" w:lineRule="auto"/>
        <w:rPr>
          <w:sz w:val="20"/>
          <w:szCs w:val="20"/>
          <w:color w:val="auto"/>
        </w:rPr>
      </w:pPr>
      <w:r>
        <w:rPr>
          <w:rFonts w:ascii="Arial" w:cs="Arial" w:eastAsia="Arial" w:hAnsi="Arial"/>
          <w:sz w:val="18"/>
          <w:szCs w:val="18"/>
          <w:color w:val="auto"/>
        </w:rPr>
        <w:t>Accordingly, the Group’s share of a subsidiary’s profits includes the share of the non-controlling interests to which the Group issued a put option.</w:t>
      </w:r>
    </w:p>
    <w:p>
      <w:pPr>
        <w:spacing w:after="0" w:line="166" w:lineRule="exact"/>
        <w:rPr>
          <w:sz w:val="20"/>
          <w:szCs w:val="20"/>
          <w:color w:val="auto"/>
        </w:rPr>
      </w:pPr>
    </w:p>
    <w:p>
      <w:pPr>
        <w:ind w:left="1520" w:hanging="500"/>
        <w:spacing w:after="0"/>
        <w:tabs>
          <w:tab w:leader="none" w:pos="152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w:t>
      </w:r>
    </w:p>
    <w:p>
      <w:pPr>
        <w:spacing w:after="0" w:line="229" w:lineRule="exact"/>
        <w:rPr>
          <w:rFonts w:ascii="Arial" w:cs="Arial" w:eastAsia="Arial" w:hAnsi="Arial"/>
          <w:sz w:val="18"/>
          <w:szCs w:val="18"/>
          <w:b w:val="1"/>
          <w:bCs w:val="1"/>
          <w:color w:val="auto"/>
        </w:rPr>
      </w:pPr>
    </w:p>
    <w:p>
      <w:pPr>
        <w:ind w:left="2040" w:hanging="507"/>
        <w:spacing w:after="0"/>
        <w:tabs>
          <w:tab w:leader="none" w:pos="20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Foreign currency transactions:</w:t>
      </w:r>
    </w:p>
    <w:p>
      <w:pPr>
        <w:spacing w:after="0" w:line="225" w:lineRule="exact"/>
        <w:rPr>
          <w:sz w:val="20"/>
          <w:szCs w:val="20"/>
          <w:color w:val="auto"/>
        </w:rPr>
      </w:pPr>
    </w:p>
    <w:p>
      <w:pPr>
        <w:jc w:val="both"/>
        <w:ind w:left="2060"/>
        <w:spacing w:after="0" w:line="296" w:lineRule="auto"/>
        <w:rPr>
          <w:sz w:val="20"/>
          <w:szCs w:val="20"/>
          <w:color w:val="auto"/>
        </w:rPr>
      </w:pPr>
      <w:r>
        <w:rPr>
          <w:rFonts w:ascii="Arial" w:cs="Arial" w:eastAsia="Arial" w:hAnsi="Arial"/>
          <w:sz w:val="16"/>
          <w:szCs w:val="16"/>
          <w:color w:val="auto"/>
        </w:rPr>
        <w:t>Transactions in foreign currencies are translated to the respective functional currencies of the Group at exchange rates at the dates of the transactions. Monetary assets and liabilities denominated in foreign currencies at the reporting date are translated into the functional currency at the exchange rate on that date. The foreign currency gain or loss on monetary items is the difference between amortized cost in the functional currency at the beginning of the year, adjusted for effective interest and payments during the year, and the amortized cost in foreign currency translated at the exchange rate as of the end of the year.</w:t>
      </w:r>
    </w:p>
    <w:p>
      <w:pPr>
        <w:spacing w:after="0" w:line="161" w:lineRule="exact"/>
        <w:rPr>
          <w:sz w:val="20"/>
          <w:szCs w:val="20"/>
          <w:color w:val="auto"/>
        </w:rPr>
      </w:pPr>
    </w:p>
    <w:p>
      <w:pPr>
        <w:jc w:val="both"/>
        <w:ind w:left="2060"/>
        <w:spacing w:after="0" w:line="311" w:lineRule="auto"/>
        <w:rPr>
          <w:sz w:val="20"/>
          <w:szCs w:val="20"/>
          <w:color w:val="auto"/>
        </w:rPr>
      </w:pPr>
      <w:r>
        <w:rPr>
          <w:rFonts w:ascii="Arial" w:cs="Arial" w:eastAsia="Arial" w:hAnsi="Arial"/>
          <w:sz w:val="16"/>
          <w:szCs w:val="16"/>
          <w:color w:val="auto"/>
        </w:rPr>
        <w:t>Non-monetary assets and liabilities denominated in foreign currencies that are measured at fair value are retranslated to the functional currency at the exchange rate on the date that the fair value was determined. Non-monetary items that are measured in terms of historical cost in a foreign currency are translated using the exchange rate on the date of the transaction.</w:t>
      </w:r>
    </w:p>
    <w:p>
      <w:pPr>
        <w:spacing w:after="0" w:line="149" w:lineRule="exact"/>
        <w:rPr>
          <w:sz w:val="20"/>
          <w:szCs w:val="20"/>
          <w:color w:val="auto"/>
        </w:rPr>
      </w:pPr>
    </w:p>
    <w:p>
      <w:pPr>
        <w:ind w:left="2040" w:hanging="507"/>
        <w:spacing w:after="0"/>
        <w:tabs>
          <w:tab w:leader="none" w:pos="20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ind w:left="2060"/>
        <w:spacing w:after="0" w:line="263" w:lineRule="auto"/>
        <w:rPr>
          <w:sz w:val="20"/>
          <w:szCs w:val="20"/>
          <w:color w:val="auto"/>
        </w:rPr>
      </w:pPr>
      <w:r>
        <w:rPr>
          <w:rFonts w:ascii="Arial" w:cs="Arial" w:eastAsia="Arial" w:hAnsi="Arial"/>
          <w:sz w:val="18"/>
          <w:szCs w:val="18"/>
          <w:color w:val="auto"/>
        </w:rPr>
        <w:t>The assets and liabilities of foreign operations, including goodwill and fair value adjustments arising on acquisition, are translated to USD at exchange rates at the reporting date. The income and expenses of foreign operations are translated to USD at exchange rates at the dates of the transactions.</w:t>
      </w:r>
    </w:p>
    <w:p>
      <w:pPr>
        <w:spacing w:after="0" w:line="184"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Foreign currency differences are recognized in other comprehensive income and are presented in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225" w:lineRule="exact"/>
        <w:rPr>
          <w:sz w:val="20"/>
          <w:szCs w:val="20"/>
          <w:color w:val="auto"/>
        </w:rPr>
      </w:pPr>
    </w:p>
    <w:p>
      <w:pPr>
        <w:ind w:left="1520" w:hanging="500"/>
        <w:spacing w:after="0"/>
        <w:tabs>
          <w:tab w:leader="none" w:pos="152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9" w:lineRule="exact"/>
        <w:rPr>
          <w:rFonts w:ascii="Arial" w:cs="Arial" w:eastAsia="Arial" w:hAnsi="Arial"/>
          <w:sz w:val="18"/>
          <w:szCs w:val="18"/>
          <w:b w:val="1"/>
          <w:bCs w:val="1"/>
          <w:color w:val="auto"/>
        </w:rPr>
      </w:pPr>
    </w:p>
    <w:p>
      <w:pPr>
        <w:ind w:left="2040" w:hanging="507"/>
        <w:spacing w:after="0"/>
        <w:tabs>
          <w:tab w:leader="none" w:pos="20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Non-derivative financial assets</w:t>
      </w:r>
    </w:p>
    <w:p>
      <w:pPr>
        <w:spacing w:after="0" w:line="225"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Initial recognition and measurement of financial assets</w:t>
      </w:r>
    </w:p>
    <w:p>
      <w:pPr>
        <w:spacing w:after="0" w:line="225" w:lineRule="exact"/>
        <w:rPr>
          <w:rFonts w:ascii="Arial" w:cs="Arial" w:eastAsia="Arial" w:hAnsi="Arial"/>
          <w:sz w:val="18"/>
          <w:szCs w:val="18"/>
          <w:color w:val="auto"/>
        </w:rPr>
      </w:pPr>
    </w:p>
    <w:p>
      <w:pPr>
        <w:jc w:val="both"/>
        <w:ind w:left="2040"/>
        <w:spacing w:after="0" w:line="273" w:lineRule="auto"/>
        <w:rPr>
          <w:rFonts w:ascii="Arial" w:cs="Arial" w:eastAsia="Arial" w:hAnsi="Arial"/>
          <w:sz w:val="18"/>
          <w:szCs w:val="18"/>
          <w:color w:val="auto"/>
        </w:rPr>
      </w:pPr>
      <w:r>
        <w:rPr>
          <w:rFonts w:ascii="Arial" w:cs="Arial" w:eastAsia="Arial" w:hAnsi="Arial"/>
          <w:sz w:val="17"/>
          <w:szCs w:val="17"/>
          <w:color w:val="auto"/>
        </w:rPr>
        <w:t>The Group initially recognizes trade receivables and debt instruments issued on the date that they are created. All other financial assets are recognized initially on the trade date at which the Group becomes a party to the contractual provisions of the instrument. A financial asset is initially measured at fair value plus transaction costs that are directly attributable to the acquisition or issuance of the financial asset. A trade receivable without a significant financing component is initially measured at the transaction price. Receivables originating from contract assets are initially measured at the carrying amount of the contract assets on the date classification was changed from contract asset to receivables.</w:t>
      </w:r>
    </w:p>
    <w:p>
      <w:pPr>
        <w:spacing w:after="0" w:line="177"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Derecognition of financial assets</w:t>
      </w:r>
    </w:p>
    <w:p>
      <w:pPr>
        <w:spacing w:after="0" w:line="225" w:lineRule="exact"/>
        <w:rPr>
          <w:rFonts w:ascii="Arial" w:cs="Arial" w:eastAsia="Arial" w:hAnsi="Arial"/>
          <w:sz w:val="18"/>
          <w:szCs w:val="18"/>
          <w:color w:val="auto"/>
        </w:rPr>
      </w:pPr>
    </w:p>
    <w:p>
      <w:pPr>
        <w:jc w:val="both"/>
        <w:ind w:left="2040"/>
        <w:spacing w:after="0" w:line="279" w:lineRule="auto"/>
        <w:rPr>
          <w:rFonts w:ascii="Arial" w:cs="Arial" w:eastAsia="Arial" w:hAnsi="Arial"/>
          <w:sz w:val="18"/>
          <w:szCs w:val="18"/>
          <w:color w:val="auto"/>
        </w:rPr>
      </w:pPr>
      <w:r>
        <w:rPr>
          <w:rFonts w:ascii="Arial" w:cs="Arial" w:eastAsia="Arial" w:hAnsi="Arial"/>
          <w:sz w:val="17"/>
          <w:szCs w:val="17"/>
          <w:color w:val="auto"/>
        </w:rPr>
        <w:t>Financial assets are derecognized when the contractual rights of the Group to the cash flows from the asset expire, or the Group transfers the rights to receive the contractual cash flows on the financial asset in a transaction in which substantially all the risks and rewards of ownership of the financial asset are transferred. When the Group retains substantially all of the risks and rewards of ownership of the financial asset, it continues to recognize the financial asset.</w:t>
      </w:r>
    </w:p>
    <w:p>
      <w:pPr>
        <w:spacing w:after="0" w:line="171"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Classification of financial assets into categories and the accounting treatment of each category</w:t>
      </w:r>
    </w:p>
    <w:p>
      <w:pPr>
        <w:spacing w:after="0" w:line="225" w:lineRule="exact"/>
        <w:rPr>
          <w:rFonts w:ascii="Arial" w:cs="Arial" w:eastAsia="Arial" w:hAnsi="Arial"/>
          <w:sz w:val="18"/>
          <w:szCs w:val="18"/>
          <w:color w:val="auto"/>
        </w:rPr>
      </w:pPr>
    </w:p>
    <w:p>
      <w:pPr>
        <w:jc w:val="both"/>
        <w:ind w:left="2040"/>
        <w:spacing w:after="0" w:line="263" w:lineRule="auto"/>
        <w:rPr>
          <w:rFonts w:ascii="Arial" w:cs="Arial" w:eastAsia="Arial" w:hAnsi="Arial"/>
          <w:sz w:val="18"/>
          <w:szCs w:val="18"/>
          <w:color w:val="auto"/>
        </w:rPr>
      </w:pPr>
      <w:r>
        <w:rPr>
          <w:rFonts w:ascii="Arial" w:cs="Arial" w:eastAsia="Arial" w:hAnsi="Arial"/>
          <w:sz w:val="18"/>
          <w:szCs w:val="18"/>
          <w:color w:val="auto"/>
        </w:rPr>
        <w:t>Financial assets are classified at initial recognition to one of the following measurement categories: amortized cost; fair value through other comprehensive income – investments in debt instruments; fair value through other comprehensive income – investments in equity instruments; or fair value through profit or loss.</w:t>
      </w:r>
    </w:p>
    <w:p>
      <w:pPr>
        <w:spacing w:after="0" w:line="183" w:lineRule="exact"/>
        <w:rPr>
          <w:rFonts w:ascii="Arial" w:cs="Arial" w:eastAsia="Arial" w:hAnsi="Arial"/>
          <w:sz w:val="18"/>
          <w:szCs w:val="18"/>
          <w:color w:val="auto"/>
        </w:rPr>
      </w:pPr>
    </w:p>
    <w:p>
      <w:pPr>
        <w:jc w:val="both"/>
        <w:ind w:left="2040"/>
        <w:spacing w:after="0" w:line="263" w:lineRule="auto"/>
        <w:rPr>
          <w:rFonts w:ascii="Arial" w:cs="Arial" w:eastAsia="Arial" w:hAnsi="Arial"/>
          <w:sz w:val="18"/>
          <w:szCs w:val="18"/>
          <w:color w:val="auto"/>
        </w:rPr>
      </w:pPr>
      <w:r>
        <w:rPr>
          <w:rFonts w:ascii="Arial" w:cs="Arial" w:eastAsia="Arial" w:hAnsi="Arial"/>
          <w:sz w:val="18"/>
          <w:szCs w:val="18"/>
          <w:color w:val="auto"/>
        </w:rPr>
        <w:t>Financial assets are not reclassified in subsequent periods unless, and only if, the Group changes its business model for the management of financial debt assets, in which case the affected financial debt assets are reclassified at the beginning of the period following the change in the business model.</w:t>
      </w:r>
    </w:p>
    <w:p>
      <w:pPr>
        <w:spacing w:after="0" w:line="183" w:lineRule="exact"/>
        <w:rPr>
          <w:rFonts w:ascii="Arial" w:cs="Arial" w:eastAsia="Arial" w:hAnsi="Arial"/>
          <w:sz w:val="18"/>
          <w:szCs w:val="18"/>
          <w:color w:val="auto"/>
        </w:rPr>
      </w:pPr>
    </w:p>
    <w:p>
      <w:pPr>
        <w:jc w:val="both"/>
        <w:ind w:left="2040"/>
        <w:spacing w:after="0" w:line="259" w:lineRule="auto"/>
        <w:rPr>
          <w:rFonts w:ascii="Arial" w:cs="Arial" w:eastAsia="Arial" w:hAnsi="Arial"/>
          <w:sz w:val="18"/>
          <w:szCs w:val="18"/>
          <w:color w:val="auto"/>
        </w:rPr>
      </w:pPr>
      <w:r>
        <w:rPr>
          <w:rFonts w:ascii="Arial" w:cs="Arial" w:eastAsia="Arial" w:hAnsi="Arial"/>
          <w:sz w:val="18"/>
          <w:szCs w:val="18"/>
          <w:color w:val="auto"/>
        </w:rPr>
        <w:t>The Group has balances of trade and other receivables and deposits that are held within a business model whose objective is collecting contractual cash flows. The contractual cash flows of these financial assets represent solely payments of principal and interest that reflects consideration for the time value of money and the credit risk. Accordingly, these financial assets are measured at amortized cost.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229" w:lineRule="exact"/>
        <w:rPr>
          <w:sz w:val="20"/>
          <w:szCs w:val="20"/>
          <w:color w:val="auto"/>
        </w:rPr>
      </w:pPr>
    </w:p>
    <w:p>
      <w:pPr>
        <w:ind w:left="2040"/>
        <w:spacing w:after="0"/>
        <w:rPr>
          <w:sz w:val="20"/>
          <w:szCs w:val="20"/>
          <w:color w:val="auto"/>
        </w:rPr>
      </w:pPr>
      <w:r>
        <w:rPr>
          <w:rFonts w:ascii="Arial" w:cs="Arial" w:eastAsia="Arial" w:hAnsi="Arial"/>
          <w:sz w:val="18"/>
          <w:szCs w:val="18"/>
          <w:b w:val="1"/>
          <w:bCs w:val="1"/>
          <w:i w:val="1"/>
          <w:iCs w:val="1"/>
          <w:color w:val="auto"/>
        </w:rPr>
        <w:t>Subsequent measurement and gains and losses</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i w:val="1"/>
          <w:iCs w:val="1"/>
          <w:color w:val="auto"/>
        </w:rPr>
        <w:t>Financial assets at amortized cost</w:t>
      </w:r>
    </w:p>
    <w:p>
      <w:pPr>
        <w:spacing w:after="0" w:line="225" w:lineRule="exact"/>
        <w:rPr>
          <w:sz w:val="20"/>
          <w:szCs w:val="20"/>
          <w:color w:val="auto"/>
        </w:rPr>
      </w:pPr>
    </w:p>
    <w:p>
      <w:pPr>
        <w:jc w:val="both"/>
        <w:ind w:left="2040"/>
        <w:spacing w:after="0" w:line="263" w:lineRule="auto"/>
        <w:rPr>
          <w:sz w:val="20"/>
          <w:szCs w:val="20"/>
          <w:color w:val="auto"/>
        </w:rPr>
      </w:pPr>
      <w:r>
        <w:rPr>
          <w:rFonts w:ascii="Arial" w:cs="Arial" w:eastAsia="Arial" w:hAnsi="Arial"/>
          <w:sz w:val="18"/>
          <w:szCs w:val="18"/>
          <w:color w:val="auto"/>
        </w:rPr>
        <w:t>These assets are subsequently measured at amortized cost using the effective interest method. The amortized cost is reduced by impairment losses. Interest income, foreign exchange gains and losses and impairment are recognized in profit or loss. Any gain or loss on derecognition is recognized in profit or loss.</w:t>
      </w:r>
    </w:p>
    <w:p>
      <w:pPr>
        <w:spacing w:after="0" w:line="184" w:lineRule="exact"/>
        <w:rPr>
          <w:sz w:val="20"/>
          <w:szCs w:val="20"/>
          <w:color w:val="auto"/>
        </w:rPr>
      </w:pPr>
    </w:p>
    <w:p>
      <w:pPr>
        <w:ind w:left="2040" w:hanging="507"/>
        <w:spacing w:after="0"/>
        <w:tabs>
          <w:tab w:leader="none" w:pos="2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Non-derivative financial liabilities</w:t>
      </w:r>
    </w:p>
    <w:p>
      <w:pPr>
        <w:spacing w:after="0" w:line="225"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8"/>
          <w:szCs w:val="18"/>
          <w:color w:val="auto"/>
        </w:rPr>
        <w:t>Non-derivative financial liabilities include trade and other payables.</w:t>
      </w:r>
    </w:p>
    <w:p>
      <w:pPr>
        <w:spacing w:after="0" w:line="225"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Initial recognition of financial liabilities</w:t>
      </w:r>
    </w:p>
    <w:p>
      <w:pPr>
        <w:spacing w:after="0" w:line="225" w:lineRule="exact"/>
        <w:rPr>
          <w:rFonts w:ascii="Arial" w:cs="Arial" w:eastAsia="Arial" w:hAnsi="Arial"/>
          <w:sz w:val="18"/>
          <w:szCs w:val="18"/>
          <w:color w:val="auto"/>
        </w:rPr>
      </w:pPr>
    </w:p>
    <w:p>
      <w:pPr>
        <w:ind w:left="2040"/>
        <w:spacing w:after="0" w:line="308" w:lineRule="auto"/>
        <w:rPr>
          <w:rFonts w:ascii="Arial" w:cs="Arial" w:eastAsia="Arial" w:hAnsi="Arial"/>
          <w:sz w:val="18"/>
          <w:szCs w:val="18"/>
          <w:color w:val="auto"/>
        </w:rPr>
      </w:pPr>
      <w:r>
        <w:rPr>
          <w:rFonts w:ascii="Arial" w:cs="Arial" w:eastAsia="Arial" w:hAnsi="Arial"/>
          <w:sz w:val="17"/>
          <w:szCs w:val="17"/>
          <w:color w:val="auto"/>
        </w:rPr>
        <w:t>The Group initially recognizes debt securities issued on the date that they originated. All other financial liabilities are recognized initially on the trade date at which the Group becomes a party to the contractual provisions of the instrument.</w:t>
      </w:r>
    </w:p>
    <w:p>
      <w:pPr>
        <w:spacing w:after="0" w:line="146"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Subsequent measurement of financial liabilities</w:t>
      </w:r>
    </w:p>
    <w:p>
      <w:pPr>
        <w:spacing w:after="0" w:line="225" w:lineRule="exact"/>
        <w:rPr>
          <w:rFonts w:ascii="Arial" w:cs="Arial" w:eastAsia="Arial" w:hAnsi="Arial"/>
          <w:sz w:val="18"/>
          <w:szCs w:val="18"/>
          <w:color w:val="auto"/>
        </w:rPr>
      </w:pPr>
    </w:p>
    <w:p>
      <w:pPr>
        <w:jc w:val="both"/>
        <w:ind w:left="2040"/>
        <w:spacing w:after="0" w:line="273" w:lineRule="auto"/>
        <w:rPr>
          <w:rFonts w:ascii="Arial" w:cs="Arial" w:eastAsia="Arial" w:hAnsi="Arial"/>
          <w:sz w:val="18"/>
          <w:szCs w:val="18"/>
          <w:color w:val="auto"/>
        </w:rPr>
      </w:pPr>
      <w:r>
        <w:rPr>
          <w:rFonts w:ascii="Arial" w:cs="Arial" w:eastAsia="Arial" w:hAnsi="Arial"/>
          <w:sz w:val="17"/>
          <w:szCs w:val="17"/>
          <w:color w:val="auto"/>
        </w:rPr>
        <w:t>Financial liabilities (other than financial liabilities at fair value through profit or loss) are recognized initially at fair value less any directly attributable transaction costs. Subsequent to initial recognition these financial liabilities are measured at amortized cost using the effective interest method. Financial liabilities are designated at fair value through profit or loss if the Group manages such liabilities and their performance is assessed based on their fair value in accordance with the Group’s documented risk management strategy, providing that the designation is intended to prevent an accounting mismatch, or the liability is a combined instrument including an embedded derivative.</w:t>
      </w:r>
    </w:p>
    <w:p>
      <w:pPr>
        <w:spacing w:after="0" w:line="177" w:lineRule="exact"/>
        <w:rPr>
          <w:rFonts w:ascii="Arial" w:cs="Arial" w:eastAsia="Arial" w:hAnsi="Arial"/>
          <w:sz w:val="18"/>
          <w:szCs w:val="18"/>
          <w:color w:val="auto"/>
        </w:rPr>
      </w:pPr>
    </w:p>
    <w:p>
      <w:pPr>
        <w:jc w:val="both"/>
        <w:ind w:left="2040"/>
        <w:spacing w:after="0" w:line="259" w:lineRule="auto"/>
        <w:rPr>
          <w:rFonts w:ascii="Arial" w:cs="Arial" w:eastAsia="Arial" w:hAnsi="Arial"/>
          <w:sz w:val="18"/>
          <w:szCs w:val="18"/>
          <w:color w:val="auto"/>
        </w:rPr>
      </w:pPr>
      <w:r>
        <w:rPr>
          <w:rFonts w:ascii="Arial" w:cs="Arial" w:eastAsia="Arial" w:hAnsi="Arial"/>
          <w:sz w:val="18"/>
          <w:szCs w:val="18"/>
          <w:color w:val="auto"/>
        </w:rPr>
        <w:t>Transaction costs directly attributable to an expected issuance of an instrument that will be classified as a financial liability are recognized as an asset in the framework of deferred expenses in the statement of financial position. These transaction costs are deducted from the financial liability upon its initial recognition or are amortized as financing expenses in the statement of income when the issuance is no longer expected to occur.</w:t>
      </w:r>
    </w:p>
    <w:p>
      <w:pPr>
        <w:spacing w:after="0" w:line="186"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Derecognition of financial liabilities</w:t>
      </w:r>
    </w:p>
    <w:p>
      <w:pPr>
        <w:spacing w:after="0" w:line="225" w:lineRule="exact"/>
        <w:rPr>
          <w:rFonts w:ascii="Arial" w:cs="Arial" w:eastAsia="Arial" w:hAnsi="Arial"/>
          <w:sz w:val="18"/>
          <w:szCs w:val="18"/>
          <w:color w:val="auto"/>
        </w:rPr>
      </w:pPr>
    </w:p>
    <w:p>
      <w:pPr>
        <w:ind w:left="2040" w:right="20"/>
        <w:spacing w:after="0" w:line="277" w:lineRule="auto"/>
        <w:rPr>
          <w:rFonts w:ascii="Arial" w:cs="Arial" w:eastAsia="Arial" w:hAnsi="Arial"/>
          <w:sz w:val="18"/>
          <w:szCs w:val="18"/>
          <w:color w:val="auto"/>
        </w:rPr>
      </w:pPr>
      <w:r>
        <w:rPr>
          <w:rFonts w:ascii="Arial" w:cs="Arial" w:eastAsia="Arial" w:hAnsi="Arial"/>
          <w:sz w:val="18"/>
          <w:szCs w:val="18"/>
          <w:color w:val="auto"/>
        </w:rPr>
        <w:t>Financial liabilities are derecognized when the obligation of the Group, as specified in the agreement, expires or when it is discharged or cancelled.</w:t>
      </w:r>
    </w:p>
    <w:p>
      <w:pPr>
        <w:spacing w:after="0" w:line="170"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Offset of financial instruments</w:t>
      </w:r>
    </w:p>
    <w:p>
      <w:pPr>
        <w:spacing w:after="0" w:line="225" w:lineRule="exact"/>
        <w:rPr>
          <w:sz w:val="20"/>
          <w:szCs w:val="20"/>
          <w:color w:val="auto"/>
        </w:rPr>
      </w:pPr>
    </w:p>
    <w:p>
      <w:pPr>
        <w:jc w:val="both"/>
        <w:ind w:left="2040"/>
        <w:spacing w:after="0" w:line="263" w:lineRule="auto"/>
        <w:rPr>
          <w:sz w:val="20"/>
          <w:szCs w:val="20"/>
          <w:color w:val="auto"/>
        </w:rPr>
      </w:pPr>
      <w:r>
        <w:rPr>
          <w:rFonts w:ascii="Arial" w:cs="Arial" w:eastAsia="Arial" w:hAnsi="Arial"/>
          <w:sz w:val="18"/>
          <w:szCs w:val="18"/>
          <w:color w:val="auto"/>
        </w:rPr>
        <w:t>Financial assets and liabilities are offset, and the net amount presented in the statement of financial position when, and only when, the Group currently has a legal right to offset the amounts and intends either to settle on a net basis or to realize the asset and settle the liability simultaneously.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229" w:lineRule="exact"/>
        <w:rPr>
          <w:sz w:val="20"/>
          <w:szCs w:val="20"/>
          <w:color w:val="auto"/>
        </w:rPr>
      </w:pPr>
    </w:p>
    <w:p>
      <w:pPr>
        <w:ind w:left="2040" w:hanging="507"/>
        <w:spacing w:after="0"/>
        <w:tabs>
          <w:tab w:leader="none" w:pos="20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Derivative financial instruments:</w:t>
      </w:r>
    </w:p>
    <w:p>
      <w:pPr>
        <w:spacing w:after="0" w:line="225"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Economic hedges</w:t>
      </w:r>
    </w:p>
    <w:p>
      <w:pPr>
        <w:spacing w:after="0" w:line="225" w:lineRule="exact"/>
        <w:rPr>
          <w:rFonts w:ascii="Arial" w:cs="Arial" w:eastAsia="Arial" w:hAnsi="Arial"/>
          <w:sz w:val="18"/>
          <w:szCs w:val="18"/>
          <w:color w:val="auto"/>
        </w:rPr>
      </w:pPr>
    </w:p>
    <w:p>
      <w:pPr>
        <w:jc w:val="both"/>
        <w:ind w:left="2040" w:right="20"/>
        <w:spacing w:after="0" w:line="263" w:lineRule="auto"/>
        <w:rPr>
          <w:rFonts w:ascii="Arial" w:cs="Arial" w:eastAsia="Arial" w:hAnsi="Arial"/>
          <w:sz w:val="18"/>
          <w:szCs w:val="18"/>
          <w:color w:val="auto"/>
        </w:rPr>
      </w:pPr>
      <w:r>
        <w:rPr>
          <w:rFonts w:ascii="Arial" w:cs="Arial" w:eastAsia="Arial" w:hAnsi="Arial"/>
          <w:sz w:val="18"/>
          <w:szCs w:val="18"/>
          <w:color w:val="auto"/>
        </w:rPr>
        <w:t>Hedge accounting is not applied to derivative instruments that economically hedge financial assets and liabilities denominated in foreign currencies. Changes in the fair value of such derivatives are recognized in profit or loss under financing income or expenses.</w:t>
      </w:r>
    </w:p>
    <w:p>
      <w:pPr>
        <w:spacing w:after="0" w:line="183" w:lineRule="exact"/>
        <w:rPr>
          <w:rFonts w:ascii="Arial" w:cs="Arial" w:eastAsia="Arial" w:hAnsi="Arial"/>
          <w:sz w:val="18"/>
          <w:szCs w:val="18"/>
          <w:color w:val="auto"/>
        </w:rPr>
      </w:pPr>
    </w:p>
    <w:p>
      <w:pPr>
        <w:ind w:left="2040" w:hanging="507"/>
        <w:spacing w:after="0"/>
        <w:tabs>
          <w:tab w:leader="none" w:pos="20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Share capital:</w:t>
      </w:r>
    </w:p>
    <w:p>
      <w:pPr>
        <w:spacing w:after="0" w:line="225"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Ordinary shares</w:t>
      </w:r>
    </w:p>
    <w:p>
      <w:pPr>
        <w:spacing w:after="0" w:line="225" w:lineRule="exact"/>
        <w:rPr>
          <w:rFonts w:ascii="Arial" w:cs="Arial" w:eastAsia="Arial" w:hAnsi="Arial"/>
          <w:sz w:val="18"/>
          <w:szCs w:val="18"/>
          <w:color w:val="auto"/>
        </w:rPr>
      </w:pPr>
    </w:p>
    <w:p>
      <w:pPr>
        <w:ind w:left="2040" w:right="20"/>
        <w:spacing w:after="0" w:line="277" w:lineRule="auto"/>
        <w:rPr>
          <w:rFonts w:ascii="Arial" w:cs="Arial" w:eastAsia="Arial" w:hAnsi="Arial"/>
          <w:sz w:val="18"/>
          <w:szCs w:val="18"/>
          <w:color w:val="auto"/>
        </w:rPr>
      </w:pPr>
      <w:r>
        <w:rPr>
          <w:rFonts w:ascii="Arial" w:cs="Arial" w:eastAsia="Arial" w:hAnsi="Arial"/>
          <w:sz w:val="18"/>
          <w:szCs w:val="18"/>
          <w:color w:val="auto"/>
        </w:rPr>
        <w:t>Ordinary shares are classified as equity. Incremental costs directly attributable to the issue of ordinary shares and share options are recognized as a deduction from equity, net of any tax effects.</w:t>
      </w:r>
    </w:p>
    <w:p>
      <w:pPr>
        <w:spacing w:after="0" w:line="170" w:lineRule="exact"/>
        <w:rPr>
          <w:rFonts w:ascii="Arial" w:cs="Arial" w:eastAsia="Arial" w:hAnsi="Arial"/>
          <w:sz w:val="18"/>
          <w:szCs w:val="18"/>
          <w:color w:val="auto"/>
        </w:rPr>
      </w:pPr>
    </w:p>
    <w:p>
      <w:pPr>
        <w:jc w:val="both"/>
        <w:ind w:left="2040"/>
        <w:spacing w:after="0" w:line="259" w:lineRule="auto"/>
        <w:rPr>
          <w:rFonts w:ascii="Arial" w:cs="Arial" w:eastAsia="Arial" w:hAnsi="Arial"/>
          <w:sz w:val="18"/>
          <w:szCs w:val="18"/>
          <w:color w:val="auto"/>
        </w:rPr>
      </w:pPr>
      <w:r>
        <w:rPr>
          <w:rFonts w:ascii="Arial" w:cs="Arial" w:eastAsia="Arial" w:hAnsi="Arial"/>
          <w:sz w:val="18"/>
          <w:szCs w:val="18"/>
          <w:color w:val="auto"/>
        </w:rPr>
        <w:t>Incremental costs directly attributable to an expected issuance of an instrument that will be classified as an equity instrument are recognized as an asset in deferred expenses in the statement of financial position. The costs are deducted from equity upon the initial recognition of the equity instruments or are amortized as financing expenses in the statement of income when the issuance is no longer expected to take place.</w:t>
      </w:r>
    </w:p>
    <w:p>
      <w:pPr>
        <w:spacing w:after="0" w:line="186"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Treasury shares</w:t>
      </w:r>
    </w:p>
    <w:p>
      <w:pPr>
        <w:spacing w:after="0" w:line="225" w:lineRule="exact"/>
        <w:rPr>
          <w:rFonts w:ascii="Arial" w:cs="Arial" w:eastAsia="Arial" w:hAnsi="Arial"/>
          <w:sz w:val="18"/>
          <w:szCs w:val="18"/>
          <w:color w:val="auto"/>
        </w:rPr>
      </w:pPr>
    </w:p>
    <w:p>
      <w:pPr>
        <w:jc w:val="both"/>
        <w:ind w:left="2040"/>
        <w:spacing w:after="0" w:line="257" w:lineRule="auto"/>
        <w:rPr>
          <w:rFonts w:ascii="Arial" w:cs="Arial" w:eastAsia="Arial" w:hAnsi="Arial"/>
          <w:sz w:val="18"/>
          <w:szCs w:val="18"/>
          <w:color w:val="auto"/>
        </w:rPr>
      </w:pPr>
      <w:r>
        <w:rPr>
          <w:rFonts w:ascii="Arial" w:cs="Arial" w:eastAsia="Arial" w:hAnsi="Arial"/>
          <w:sz w:val="18"/>
          <w:szCs w:val="18"/>
          <w:color w:val="auto"/>
        </w:rPr>
        <w:t>When share capital recognized as equity is repurchased by the Group, the amount of the consideration paid, which includes directly attributable costs, net of any tax effects, is recognized as a deduction from equity. Repurchased shares are classified as a deduction in Share Premium. When treasury shares are sold or reissued subsequently, the amount received is recognized as an increase in equity, and the resulting surplus on the transaction is carried to share premium, whereas a deficit on the transaction is deducted from retained earnings.</w:t>
      </w:r>
    </w:p>
    <w:p>
      <w:pPr>
        <w:spacing w:after="0" w:line="183" w:lineRule="exact"/>
        <w:rPr>
          <w:rFonts w:ascii="Arial" w:cs="Arial" w:eastAsia="Arial" w:hAnsi="Arial"/>
          <w:sz w:val="18"/>
          <w:szCs w:val="18"/>
          <w:color w:val="auto"/>
        </w:rPr>
      </w:pPr>
    </w:p>
    <w:p>
      <w:pPr>
        <w:ind w:left="1520" w:hanging="500"/>
        <w:spacing w:after="0"/>
        <w:tabs>
          <w:tab w:leader="none" w:pos="152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spacing w:after="0" w:line="229" w:lineRule="exact"/>
        <w:rPr>
          <w:rFonts w:ascii="Arial" w:cs="Arial" w:eastAsia="Arial" w:hAnsi="Arial"/>
          <w:sz w:val="18"/>
          <w:szCs w:val="18"/>
          <w:b w:val="1"/>
          <w:bCs w:val="1"/>
          <w:color w:val="auto"/>
        </w:rPr>
      </w:pPr>
    </w:p>
    <w:p>
      <w:pPr>
        <w:jc w:val="both"/>
        <w:ind w:left="15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Fixed assets are measured at cost less accumulated depreciation. The cost of fixed assets includes expenditure that is directly attributable to the acquisition of the asset. Depreciation is provided on all property and equipment at rates calculated to write each asset down to its residual value (assumed to be nil), using the straight-line method, over its expected useful life as follows:</w:t>
      </w:r>
    </w:p>
    <w:p>
      <w:pPr>
        <w:spacing w:after="0" w:line="148" w:lineRule="exact"/>
        <w:rPr>
          <w:sz w:val="20"/>
          <w:szCs w:val="20"/>
          <w:color w:val="auto"/>
        </w:rPr>
      </w:pPr>
    </w:p>
    <w:tbl>
      <w:tblPr>
        <w:tblLayout w:type="fixed"/>
        <w:tblInd w:w="15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840" w:type="dxa"/>
            <w:vAlign w:val="bottom"/>
            <w:gridSpan w:val="3"/>
          </w:tcPr>
          <w:p>
            <w:pPr>
              <w:ind w:left="66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Computers and servers</w:t>
            </w: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w:t>
            </w:r>
          </w:p>
        </w:tc>
        <w:tc>
          <w:tcPr>
            <w:tcW w:w="3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3-17</w:t>
            </w:r>
          </w:p>
        </w:tc>
        <w:tc>
          <w:tcPr>
            <w:tcW w:w="3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8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The shorter of the lease term and the useful life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20"/>
        <w:spacing w:after="0" w:line="277" w:lineRule="auto"/>
        <w:rPr>
          <w:sz w:val="20"/>
          <w:szCs w:val="20"/>
          <w:color w:val="auto"/>
        </w:rPr>
      </w:pPr>
      <w:r>
        <w:rPr>
          <w:rFonts w:ascii="Arial" w:cs="Arial" w:eastAsia="Arial" w:hAnsi="Arial"/>
          <w:sz w:val="18"/>
          <w:szCs w:val="18"/>
          <w:color w:val="auto"/>
        </w:rPr>
        <w:t>An asset is depreciated from the date it is ready for use, meaning the date it reaches the location and condition required for it to operate in the manner intended by management.</w:t>
      </w:r>
    </w:p>
    <w:p>
      <w:pPr>
        <w:spacing w:after="0" w:line="170"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Depreciation methods, useful lives and residual values are reviewed at the end of each reporting year and adjusted if appropriate.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225" w:lineRule="exact"/>
        <w:rPr>
          <w:sz w:val="20"/>
          <w:szCs w:val="20"/>
          <w:color w:val="auto"/>
        </w:rPr>
      </w:pPr>
    </w:p>
    <w:p>
      <w:pPr>
        <w:ind w:left="1520" w:hanging="500"/>
        <w:spacing w:after="0"/>
        <w:tabs>
          <w:tab w:leader="none" w:pos="152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rFonts w:ascii="Arial" w:cs="Arial" w:eastAsia="Arial" w:hAnsi="Arial"/>
          <w:sz w:val="18"/>
          <w:szCs w:val="18"/>
          <w:b w:val="1"/>
          <w:bCs w:val="1"/>
          <w:color w:val="auto"/>
        </w:rPr>
      </w:pPr>
    </w:p>
    <w:p>
      <w:pPr>
        <w:ind w:left="2040" w:hanging="507"/>
        <w:spacing w:after="0"/>
        <w:tabs>
          <w:tab w:leader="none" w:pos="20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Software development:</w:t>
      </w:r>
    </w:p>
    <w:p>
      <w:pPr>
        <w:spacing w:after="0" w:line="225" w:lineRule="exact"/>
        <w:rPr>
          <w:rFonts w:ascii="Arial" w:cs="Arial" w:eastAsia="Arial" w:hAnsi="Arial"/>
          <w:sz w:val="18"/>
          <w:szCs w:val="18"/>
          <w:color w:val="auto"/>
        </w:rPr>
      </w:pPr>
    </w:p>
    <w:p>
      <w:pPr>
        <w:ind w:left="2040"/>
        <w:spacing w:after="0" w:line="277" w:lineRule="auto"/>
        <w:rPr>
          <w:rFonts w:ascii="Arial" w:cs="Arial" w:eastAsia="Arial" w:hAnsi="Arial"/>
          <w:sz w:val="18"/>
          <w:szCs w:val="18"/>
          <w:color w:val="auto"/>
        </w:rPr>
      </w:pPr>
      <w:r>
        <w:rPr>
          <w:rFonts w:ascii="Arial" w:cs="Arial" w:eastAsia="Arial" w:hAnsi="Arial"/>
          <w:sz w:val="18"/>
          <w:szCs w:val="18"/>
          <w:color w:val="auto"/>
        </w:rPr>
        <w:t>Expenditure on research activities, undertaken with the prospect of gaining new scientific or technical knowledge and understanding, is recognized in profit or loss when incurred.</w:t>
      </w:r>
    </w:p>
    <w:p>
      <w:pPr>
        <w:spacing w:after="0" w:line="170" w:lineRule="exact"/>
        <w:rPr>
          <w:rFonts w:ascii="Arial" w:cs="Arial" w:eastAsia="Arial" w:hAnsi="Arial"/>
          <w:sz w:val="18"/>
          <w:szCs w:val="18"/>
          <w:color w:val="auto"/>
        </w:rPr>
      </w:pPr>
    </w:p>
    <w:p>
      <w:pPr>
        <w:jc w:val="both"/>
        <w:ind w:left="2040"/>
        <w:spacing w:after="0" w:line="293" w:lineRule="auto"/>
        <w:rPr>
          <w:rFonts w:ascii="Arial" w:cs="Arial" w:eastAsia="Arial" w:hAnsi="Arial"/>
          <w:sz w:val="18"/>
          <w:szCs w:val="18"/>
          <w:color w:val="auto"/>
        </w:rPr>
      </w:pPr>
      <w:r>
        <w:rPr>
          <w:rFonts w:ascii="Arial" w:cs="Arial" w:eastAsia="Arial" w:hAnsi="Arial"/>
          <w:sz w:val="16"/>
          <w:szCs w:val="16"/>
          <w:color w:val="auto"/>
        </w:rPr>
        <w:t>Development activities involve a plan or design for the production of new or substantially improved products and processes. Development expenditure is capitalized only if development costs can be measured reliably, the product or process is technically and commercially feasible, future economic benefits are probable, and the Group has the intention and sufficient resources to complete development and to use or sell the asset. The expenditure capitalized in respect of development activities includes the cost of materials, direct labor and overhead costs that are directly attributable to preparing the asset for its intended use, and capitalized borrowing costs. Other development expenditure is recognized in profit or loss as incurred.</w:t>
      </w:r>
    </w:p>
    <w:p>
      <w:pPr>
        <w:spacing w:after="0" w:line="164" w:lineRule="exact"/>
        <w:rPr>
          <w:rFonts w:ascii="Arial" w:cs="Arial" w:eastAsia="Arial" w:hAnsi="Arial"/>
          <w:sz w:val="18"/>
          <w:szCs w:val="18"/>
          <w:color w:val="auto"/>
        </w:rPr>
      </w:pPr>
    </w:p>
    <w:p>
      <w:pPr>
        <w:ind w:left="2040"/>
        <w:spacing w:after="0" w:line="277" w:lineRule="auto"/>
        <w:rPr>
          <w:rFonts w:ascii="Arial" w:cs="Arial" w:eastAsia="Arial" w:hAnsi="Arial"/>
          <w:sz w:val="18"/>
          <w:szCs w:val="18"/>
          <w:color w:val="auto"/>
        </w:rPr>
      </w:pPr>
      <w:r>
        <w:rPr>
          <w:rFonts w:ascii="Arial" w:cs="Arial" w:eastAsia="Arial" w:hAnsi="Arial"/>
          <w:sz w:val="18"/>
          <w:szCs w:val="18"/>
          <w:color w:val="auto"/>
        </w:rPr>
        <w:t>In subsequent periods, capitalized development expenditure is measured at cost less accumulated amortization and accumulated impairment losses.</w:t>
      </w:r>
    </w:p>
    <w:p>
      <w:pPr>
        <w:spacing w:after="0" w:line="170" w:lineRule="exact"/>
        <w:rPr>
          <w:rFonts w:ascii="Arial" w:cs="Arial" w:eastAsia="Arial" w:hAnsi="Arial"/>
          <w:sz w:val="18"/>
          <w:szCs w:val="18"/>
          <w:color w:val="auto"/>
        </w:rPr>
      </w:pPr>
    </w:p>
    <w:p>
      <w:pPr>
        <w:ind w:left="2040"/>
        <w:spacing w:after="0" w:line="277" w:lineRule="auto"/>
        <w:rPr>
          <w:rFonts w:ascii="Arial" w:cs="Arial" w:eastAsia="Arial" w:hAnsi="Arial"/>
          <w:sz w:val="18"/>
          <w:szCs w:val="18"/>
          <w:color w:val="auto"/>
        </w:rPr>
      </w:pPr>
      <w:r>
        <w:rPr>
          <w:rFonts w:ascii="Arial" w:cs="Arial" w:eastAsia="Arial" w:hAnsi="Arial"/>
          <w:sz w:val="18"/>
          <w:szCs w:val="18"/>
          <w:color w:val="auto"/>
        </w:rPr>
        <w:t>Where these criteria are not met, development costs are charged to the statement of operation and other comprehensive income as incurred.</w:t>
      </w:r>
    </w:p>
    <w:p>
      <w:pPr>
        <w:spacing w:after="0" w:line="170"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8"/>
          <w:szCs w:val="18"/>
          <w:color w:val="auto"/>
        </w:rPr>
        <w:t>The estimated useful lives of developed software are three years.</w:t>
      </w:r>
    </w:p>
    <w:p>
      <w:pPr>
        <w:spacing w:after="0" w:line="225" w:lineRule="exact"/>
        <w:rPr>
          <w:rFonts w:ascii="Arial" w:cs="Arial" w:eastAsia="Arial" w:hAnsi="Arial"/>
          <w:sz w:val="18"/>
          <w:szCs w:val="18"/>
          <w:color w:val="auto"/>
        </w:rPr>
      </w:pPr>
    </w:p>
    <w:p>
      <w:pPr>
        <w:ind w:left="2040" w:right="20"/>
        <w:spacing w:after="0" w:line="277" w:lineRule="auto"/>
        <w:rPr>
          <w:rFonts w:ascii="Arial" w:cs="Arial" w:eastAsia="Arial" w:hAnsi="Arial"/>
          <w:sz w:val="18"/>
          <w:szCs w:val="18"/>
          <w:color w:val="auto"/>
        </w:rPr>
      </w:pPr>
      <w:r>
        <w:rPr>
          <w:rFonts w:ascii="Arial" w:cs="Arial" w:eastAsia="Arial" w:hAnsi="Arial"/>
          <w:sz w:val="18"/>
          <w:szCs w:val="18"/>
          <w:color w:val="auto"/>
        </w:rPr>
        <w:t>Amortization methods, useful lives and residual values are reviewed at the end of each reporting year and adjusted if appropriate.</w:t>
      </w:r>
    </w:p>
    <w:p>
      <w:pPr>
        <w:spacing w:after="0" w:line="170" w:lineRule="exact"/>
        <w:rPr>
          <w:rFonts w:ascii="Arial" w:cs="Arial" w:eastAsia="Arial" w:hAnsi="Arial"/>
          <w:sz w:val="18"/>
          <w:szCs w:val="18"/>
          <w:color w:val="auto"/>
        </w:rPr>
      </w:pPr>
    </w:p>
    <w:p>
      <w:pPr>
        <w:ind w:left="2040" w:hanging="507"/>
        <w:spacing w:after="0"/>
        <w:tabs>
          <w:tab w:leader="none" w:pos="20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Acquired software:</w:t>
      </w:r>
    </w:p>
    <w:p>
      <w:pPr>
        <w:spacing w:after="0" w:line="225" w:lineRule="exact"/>
        <w:rPr>
          <w:rFonts w:ascii="Arial" w:cs="Arial" w:eastAsia="Arial" w:hAnsi="Arial"/>
          <w:sz w:val="18"/>
          <w:szCs w:val="18"/>
          <w:color w:val="auto"/>
        </w:rPr>
      </w:pPr>
    </w:p>
    <w:p>
      <w:pPr>
        <w:jc w:val="both"/>
        <w:ind w:left="2040"/>
        <w:spacing w:after="0" w:line="263" w:lineRule="auto"/>
        <w:rPr>
          <w:rFonts w:ascii="Arial" w:cs="Arial" w:eastAsia="Arial" w:hAnsi="Arial"/>
          <w:sz w:val="18"/>
          <w:szCs w:val="18"/>
          <w:color w:val="auto"/>
        </w:rPr>
      </w:pPr>
      <w:r>
        <w:rPr>
          <w:rFonts w:ascii="Arial" w:cs="Arial" w:eastAsia="Arial" w:hAnsi="Arial"/>
          <w:sz w:val="18"/>
          <w:szCs w:val="18"/>
          <w:color w:val="auto"/>
        </w:rPr>
        <w:t>Acquired software licenses are capitalized on the basis of the costs incurred to acquire and bring to use the specific software licenses. These costs are amortized over their estimated useful lives (3 years) using the straight-line method. Costs associated with maintaining software programs are recognized as an expense as incurred.</w:t>
      </w:r>
    </w:p>
    <w:p>
      <w:pPr>
        <w:spacing w:after="0" w:line="183" w:lineRule="exact"/>
        <w:rPr>
          <w:rFonts w:ascii="Arial" w:cs="Arial" w:eastAsia="Arial" w:hAnsi="Arial"/>
          <w:sz w:val="18"/>
          <w:szCs w:val="18"/>
          <w:color w:val="auto"/>
        </w:rPr>
      </w:pPr>
    </w:p>
    <w:p>
      <w:pPr>
        <w:ind w:left="2040" w:hanging="507"/>
        <w:spacing w:after="0"/>
        <w:tabs>
          <w:tab w:leader="none" w:pos="20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Goodwill:</w:t>
      </w:r>
    </w:p>
    <w:p>
      <w:pPr>
        <w:spacing w:after="0" w:line="225" w:lineRule="exact"/>
        <w:rPr>
          <w:rFonts w:ascii="Arial" w:cs="Arial" w:eastAsia="Arial" w:hAnsi="Arial"/>
          <w:sz w:val="18"/>
          <w:szCs w:val="18"/>
          <w:color w:val="auto"/>
        </w:rPr>
      </w:pPr>
    </w:p>
    <w:p>
      <w:pPr>
        <w:ind w:left="2040" w:right="20"/>
        <w:spacing w:after="0" w:line="277" w:lineRule="auto"/>
        <w:rPr>
          <w:rFonts w:ascii="Arial" w:cs="Arial" w:eastAsia="Arial" w:hAnsi="Arial"/>
          <w:sz w:val="18"/>
          <w:szCs w:val="18"/>
          <w:color w:val="auto"/>
        </w:rPr>
      </w:pPr>
      <w:r>
        <w:rPr>
          <w:rFonts w:ascii="Arial" w:cs="Arial" w:eastAsia="Arial" w:hAnsi="Arial"/>
          <w:sz w:val="18"/>
          <w:szCs w:val="18"/>
          <w:color w:val="auto"/>
        </w:rPr>
        <w:t>Goodwill that arises upon the acquisition of subsidiaries is presented as part of intangible assets. For information on measurement of goodwill at initial recognition, see Note 3a(1).</w:t>
      </w:r>
    </w:p>
    <w:p>
      <w:pPr>
        <w:spacing w:after="0" w:line="170" w:lineRule="exact"/>
        <w:rPr>
          <w:rFonts w:ascii="Arial" w:cs="Arial" w:eastAsia="Arial" w:hAnsi="Arial"/>
          <w:sz w:val="18"/>
          <w:szCs w:val="18"/>
          <w:color w:val="auto"/>
        </w:rPr>
      </w:pPr>
    </w:p>
    <w:p>
      <w:pPr>
        <w:jc w:val="both"/>
        <w:ind w:left="2040"/>
        <w:spacing w:after="0" w:line="263" w:lineRule="auto"/>
        <w:rPr>
          <w:rFonts w:ascii="Arial" w:cs="Arial" w:eastAsia="Arial" w:hAnsi="Arial"/>
          <w:sz w:val="18"/>
          <w:szCs w:val="18"/>
          <w:color w:val="auto"/>
        </w:rPr>
      </w:pPr>
      <w:r>
        <w:rPr>
          <w:rFonts w:ascii="Arial" w:cs="Arial" w:eastAsia="Arial" w:hAnsi="Arial"/>
          <w:sz w:val="18"/>
          <w:szCs w:val="18"/>
          <w:color w:val="auto"/>
        </w:rPr>
        <w:t>In subsequent periods goodwill is measured at cost less accumulated impairment losses. The Group has identified its entire operation as a single cash generating unit (CGU). According to management assessment and quoted price of the shares as of December 31, 2021, no impairment in respect to goodwill has been recorded.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229" w:lineRule="exact"/>
        <w:rPr>
          <w:sz w:val="20"/>
          <w:szCs w:val="20"/>
          <w:color w:val="auto"/>
        </w:rPr>
      </w:pPr>
    </w:p>
    <w:p>
      <w:pPr>
        <w:ind w:left="2040" w:hanging="507"/>
        <w:spacing w:after="0"/>
        <w:tabs>
          <w:tab w:leader="none" w:pos="2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Other intangible assets:</w:t>
      </w:r>
    </w:p>
    <w:p>
      <w:pPr>
        <w:spacing w:after="0" w:line="225" w:lineRule="exact"/>
        <w:rPr>
          <w:rFonts w:ascii="Arial" w:cs="Arial" w:eastAsia="Arial" w:hAnsi="Arial"/>
          <w:sz w:val="18"/>
          <w:szCs w:val="18"/>
          <w:color w:val="auto"/>
        </w:rPr>
      </w:pPr>
    </w:p>
    <w:p>
      <w:pPr>
        <w:ind w:left="2040"/>
        <w:spacing w:after="0" w:line="277" w:lineRule="auto"/>
        <w:rPr>
          <w:rFonts w:ascii="Arial" w:cs="Arial" w:eastAsia="Arial" w:hAnsi="Arial"/>
          <w:sz w:val="18"/>
          <w:szCs w:val="18"/>
          <w:color w:val="auto"/>
        </w:rPr>
      </w:pPr>
      <w:r>
        <w:rPr>
          <w:rFonts w:ascii="Arial" w:cs="Arial" w:eastAsia="Arial" w:hAnsi="Arial"/>
          <w:sz w:val="18"/>
          <w:szCs w:val="18"/>
          <w:color w:val="auto"/>
        </w:rPr>
        <w:t>Other intangible assets that are acquired by the Group, which have finite useful lives, are measured at cost less accumulated amortization and accumulated impairment losses.</w:t>
      </w:r>
    </w:p>
    <w:p>
      <w:pPr>
        <w:spacing w:after="0" w:line="170" w:lineRule="exact"/>
        <w:rPr>
          <w:rFonts w:ascii="Arial" w:cs="Arial" w:eastAsia="Arial" w:hAnsi="Arial"/>
          <w:sz w:val="18"/>
          <w:szCs w:val="18"/>
          <w:color w:val="auto"/>
        </w:rPr>
      </w:pPr>
    </w:p>
    <w:p>
      <w:pPr>
        <w:ind w:left="2040" w:hanging="507"/>
        <w:spacing w:after="0"/>
        <w:tabs>
          <w:tab w:leader="none" w:pos="2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Amortization:</w:t>
      </w:r>
    </w:p>
    <w:p>
      <w:pPr>
        <w:spacing w:after="0" w:line="225" w:lineRule="exact"/>
        <w:rPr>
          <w:rFonts w:ascii="Arial" w:cs="Arial" w:eastAsia="Arial" w:hAnsi="Arial"/>
          <w:sz w:val="18"/>
          <w:szCs w:val="18"/>
          <w:color w:val="auto"/>
        </w:rPr>
      </w:pPr>
    </w:p>
    <w:p>
      <w:pPr>
        <w:ind w:left="2040"/>
        <w:spacing w:after="0" w:line="277" w:lineRule="auto"/>
        <w:rPr>
          <w:rFonts w:ascii="Arial" w:cs="Arial" w:eastAsia="Arial" w:hAnsi="Arial"/>
          <w:sz w:val="18"/>
          <w:szCs w:val="18"/>
          <w:color w:val="auto"/>
        </w:rPr>
      </w:pPr>
      <w:r>
        <w:rPr>
          <w:rFonts w:ascii="Arial" w:cs="Arial" w:eastAsia="Arial" w:hAnsi="Arial"/>
          <w:sz w:val="18"/>
          <w:szCs w:val="18"/>
          <w:color w:val="auto"/>
        </w:rPr>
        <w:t>Amortization is a systematic allocation of the amortizable amount of an intangible asset over its useful life. The amortizable amount is the cost of the asset less its accumulated residual value.</w:t>
      </w:r>
    </w:p>
    <w:p>
      <w:pPr>
        <w:spacing w:after="0" w:line="170" w:lineRule="exact"/>
        <w:rPr>
          <w:rFonts w:ascii="Arial" w:cs="Arial" w:eastAsia="Arial" w:hAnsi="Arial"/>
          <w:sz w:val="18"/>
          <w:szCs w:val="18"/>
          <w:color w:val="auto"/>
        </w:rPr>
      </w:pPr>
    </w:p>
    <w:p>
      <w:pPr>
        <w:jc w:val="both"/>
        <w:ind w:left="2040"/>
        <w:spacing w:after="0" w:line="263" w:lineRule="auto"/>
        <w:rPr>
          <w:rFonts w:ascii="Arial" w:cs="Arial" w:eastAsia="Arial" w:hAnsi="Arial"/>
          <w:sz w:val="18"/>
          <w:szCs w:val="18"/>
          <w:color w:val="auto"/>
        </w:rPr>
      </w:pPr>
      <w:r>
        <w:rPr>
          <w:rFonts w:ascii="Arial" w:cs="Arial" w:eastAsia="Arial" w:hAnsi="Arial"/>
          <w:sz w:val="18"/>
          <w:szCs w:val="18"/>
          <w:color w:val="auto"/>
        </w:rPr>
        <w:t>Internally generated intangible assets, such as software development costs, are not systematically amortized as long as they are not available for use, i.e., they are not yet on site or in working condition for their intended use. Goodwill is not systematically amortized as well but is tested for impairment at least once a year.</w:t>
      </w:r>
    </w:p>
    <w:p>
      <w:pPr>
        <w:spacing w:after="0" w:line="183" w:lineRule="exact"/>
        <w:rPr>
          <w:rFonts w:ascii="Arial" w:cs="Arial" w:eastAsia="Arial" w:hAnsi="Arial"/>
          <w:sz w:val="18"/>
          <w:szCs w:val="18"/>
          <w:color w:val="auto"/>
        </w:rPr>
      </w:pPr>
    </w:p>
    <w:p>
      <w:pPr>
        <w:jc w:val="both"/>
        <w:ind w:left="2040"/>
        <w:spacing w:after="0" w:line="263" w:lineRule="auto"/>
        <w:rPr>
          <w:rFonts w:ascii="Arial" w:cs="Arial" w:eastAsia="Arial" w:hAnsi="Arial"/>
          <w:sz w:val="18"/>
          <w:szCs w:val="18"/>
          <w:color w:val="auto"/>
        </w:rPr>
      </w:pPr>
      <w:r>
        <w:rPr>
          <w:rFonts w:ascii="Arial" w:cs="Arial" w:eastAsia="Arial" w:hAnsi="Arial"/>
          <w:sz w:val="18"/>
          <w:szCs w:val="18"/>
          <w:color w:val="auto"/>
        </w:rPr>
        <w:t>The Group examines the amortization methods, useful life and accumulated residual values of its intangible assets at least once a year (usually at the end of each reporting period) in order to determine whether events and circumstances continue to support the decision that the intangible asset has an indefinite useful life.</w:t>
      </w:r>
    </w:p>
    <w:p>
      <w:pPr>
        <w:spacing w:after="0" w:line="184" w:lineRule="exact"/>
        <w:rPr>
          <w:sz w:val="20"/>
          <w:szCs w:val="20"/>
          <w:color w:val="auto"/>
        </w:rPr>
      </w:pPr>
    </w:p>
    <w:p>
      <w:pPr>
        <w:jc w:val="both"/>
        <w:ind w:left="2040"/>
        <w:spacing w:after="0" w:line="259" w:lineRule="auto"/>
        <w:rPr>
          <w:sz w:val="20"/>
          <w:szCs w:val="20"/>
          <w:color w:val="auto"/>
        </w:rPr>
      </w:pPr>
      <w:r>
        <w:rPr>
          <w:rFonts w:ascii="Arial" w:cs="Arial" w:eastAsia="Arial" w:hAnsi="Arial"/>
          <w:sz w:val="18"/>
          <w:szCs w:val="18"/>
          <w:color w:val="auto"/>
        </w:rPr>
        <w:t>Amortization is recognized in the statements of other comprehensive income on a straight-line basis over the estimated useful lives of the intangible assets from the date they are available for use, since this method most closely reflects the expected pattern of consumption of the future economic benefits embodied in each asset, such as development costs, are tested for impairment at least once a year until such date as they are available for use.</w:t>
      </w:r>
    </w:p>
    <w:p>
      <w:pPr>
        <w:spacing w:after="0" w:line="18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The estimated useful lives for the current and comparative periods are as follows:</w:t>
      </w:r>
    </w:p>
    <w:p>
      <w:pPr>
        <w:spacing w:after="0" w:line="239" w:lineRule="exact"/>
        <w:rPr>
          <w:sz w:val="20"/>
          <w:szCs w:val="20"/>
          <w:color w:val="auto"/>
        </w:rPr>
      </w:pPr>
    </w:p>
    <w:tbl>
      <w:tblPr>
        <w:tblLayout w:type="fixed"/>
        <w:tblInd w:w="2040" w:type="dxa"/>
        <w:tblCellMar>
          <w:top w:w="0" w:type="dxa"/>
          <w:left w:w="0" w:type="dxa"/>
          <w:bottom w:w="0" w:type="dxa"/>
          <w:right w:w="0" w:type="dxa"/>
        </w:tblCellMar>
      </w:tblP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350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1.75-5 years</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Software (developed and acquired)</w:t>
            </w:r>
          </w:p>
        </w:tc>
        <w:tc>
          <w:tcPr>
            <w:tcW w:w="3500" w:type="dxa"/>
            <w:vAlign w:val="bottom"/>
          </w:tcPr>
          <w:p>
            <w:pPr>
              <w:ind w:left="1360"/>
              <w:spacing w:after="0"/>
              <w:rPr>
                <w:sz w:val="20"/>
                <w:szCs w:val="20"/>
                <w:color w:val="auto"/>
              </w:rPr>
            </w:pPr>
            <w:r>
              <w:rPr>
                <w:rFonts w:ascii="Arial" w:cs="Arial" w:eastAsia="Arial" w:hAnsi="Arial"/>
                <w:sz w:val="18"/>
                <w:szCs w:val="18"/>
                <w:color w:val="auto"/>
              </w:rPr>
              <w:t>3 years</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50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3-5.75 years</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Technology</w:t>
            </w:r>
          </w:p>
        </w:tc>
        <w:tc>
          <w:tcPr>
            <w:tcW w:w="3500" w:type="dxa"/>
            <w:vAlign w:val="bottom"/>
          </w:tcPr>
          <w:p>
            <w:pPr>
              <w:ind w:left="1360"/>
              <w:spacing w:after="0"/>
              <w:rPr>
                <w:sz w:val="20"/>
                <w:szCs w:val="20"/>
                <w:color w:val="auto"/>
              </w:rPr>
            </w:pPr>
            <w:r>
              <w:rPr>
                <w:rFonts w:ascii="Arial" w:cs="Arial" w:eastAsia="Arial" w:hAnsi="Arial"/>
                <w:sz w:val="18"/>
                <w:szCs w:val="18"/>
                <w:color w:val="auto"/>
              </w:rPr>
              <w:t>1-5.25 years</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50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1-1.5 years</w:t>
            </w:r>
          </w:p>
        </w:tc>
      </w:tr>
    </w:tbl>
    <w:p>
      <w:pPr>
        <w:spacing w:after="0" w:line="202" w:lineRule="exact"/>
        <w:rPr>
          <w:sz w:val="20"/>
          <w:szCs w:val="20"/>
          <w:color w:val="auto"/>
        </w:rPr>
      </w:pPr>
    </w:p>
    <w:p>
      <w:pPr>
        <w:ind w:left="2040" w:right="20"/>
        <w:spacing w:after="0" w:line="277" w:lineRule="auto"/>
        <w:rPr>
          <w:sz w:val="20"/>
          <w:szCs w:val="20"/>
          <w:color w:val="auto"/>
        </w:rPr>
      </w:pPr>
      <w:r>
        <w:rPr>
          <w:rFonts w:ascii="Arial" w:cs="Arial" w:eastAsia="Arial" w:hAnsi="Arial"/>
          <w:sz w:val="18"/>
          <w:szCs w:val="18"/>
          <w:color w:val="auto"/>
        </w:rPr>
        <w:t>Amortization methods, useful lives and residual values are reviewed at the end of each reporting year and adjusted if appropriate.</w:t>
      </w:r>
    </w:p>
    <w:p>
      <w:pPr>
        <w:spacing w:after="0" w:line="170" w:lineRule="exact"/>
        <w:rPr>
          <w:sz w:val="20"/>
          <w:szCs w:val="20"/>
          <w:color w:val="auto"/>
        </w:rPr>
      </w:pPr>
    </w:p>
    <w:p>
      <w:pPr>
        <w:ind w:left="2040" w:right="20"/>
        <w:spacing w:after="0" w:line="277" w:lineRule="auto"/>
        <w:rPr>
          <w:sz w:val="20"/>
          <w:szCs w:val="20"/>
          <w:color w:val="auto"/>
        </w:rPr>
      </w:pPr>
      <w:r>
        <w:rPr>
          <w:rFonts w:ascii="Arial" w:cs="Arial" w:eastAsia="Arial" w:hAnsi="Arial"/>
          <w:sz w:val="18"/>
          <w:szCs w:val="18"/>
          <w:color w:val="auto"/>
        </w:rPr>
        <w:t>During 2020, the Company changed the expected useful life of intangible asset items. For further information see Note 7 regarding the basis of preparation of the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225" w:lineRule="exact"/>
        <w:rPr>
          <w:sz w:val="20"/>
          <w:szCs w:val="20"/>
          <w:color w:val="auto"/>
        </w:rPr>
      </w:pPr>
    </w:p>
    <w:p>
      <w:pPr>
        <w:ind w:left="1520" w:hanging="500"/>
        <w:spacing w:after="0"/>
        <w:tabs>
          <w:tab w:leader="none" w:pos="152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w:t>
      </w:r>
    </w:p>
    <w:p>
      <w:pPr>
        <w:spacing w:after="0" w:line="225" w:lineRule="exact"/>
        <w:rPr>
          <w:rFonts w:ascii="Arial" w:cs="Arial" w:eastAsia="Arial" w:hAnsi="Arial"/>
          <w:sz w:val="18"/>
          <w:szCs w:val="18"/>
          <w:b w:val="1"/>
          <w:bCs w:val="1"/>
          <w:color w:val="auto"/>
        </w:rPr>
      </w:pPr>
    </w:p>
    <w:p>
      <w:pPr>
        <w:ind w:left="1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Non-derivative financial assets</w:t>
      </w:r>
    </w:p>
    <w:p>
      <w:pPr>
        <w:spacing w:after="0" w:line="229" w:lineRule="exact"/>
        <w:rPr>
          <w:rFonts w:ascii="Arial" w:cs="Arial" w:eastAsia="Arial" w:hAnsi="Arial"/>
          <w:sz w:val="18"/>
          <w:szCs w:val="18"/>
          <w:b w:val="1"/>
          <w:bCs w:val="1"/>
          <w:color w:val="auto"/>
        </w:rPr>
      </w:pPr>
    </w:p>
    <w:p>
      <w:pPr>
        <w:ind w:left="15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assets, contract assets and lease receivables</w:t>
      </w:r>
    </w:p>
    <w:p>
      <w:pPr>
        <w:spacing w:after="0" w:line="225" w:lineRule="exact"/>
        <w:rPr>
          <w:rFonts w:ascii="Arial" w:cs="Arial" w:eastAsia="Arial" w:hAnsi="Arial"/>
          <w:sz w:val="18"/>
          <w:szCs w:val="18"/>
          <w:b w:val="1"/>
          <w:bCs w:val="1"/>
          <w:color w:val="auto"/>
        </w:rPr>
      </w:pPr>
    </w:p>
    <w:p>
      <w:pPr>
        <w:ind w:left="1520"/>
        <w:spacing w:after="0"/>
        <w:rPr>
          <w:rFonts w:ascii="Arial" w:cs="Arial" w:eastAsia="Arial" w:hAnsi="Arial"/>
          <w:sz w:val="18"/>
          <w:szCs w:val="18"/>
          <w:b w:val="1"/>
          <w:bCs w:val="1"/>
          <w:color w:val="auto"/>
        </w:rPr>
      </w:pPr>
      <w:r>
        <w:rPr>
          <w:rFonts w:ascii="Arial" w:cs="Arial" w:eastAsia="Arial" w:hAnsi="Arial"/>
          <w:sz w:val="18"/>
          <w:szCs w:val="18"/>
          <w:color w:val="auto"/>
        </w:rPr>
        <w:t>The Group recognizes a provision for expected credit losses in respect of:</w:t>
      </w:r>
    </w:p>
    <w:p>
      <w:pPr>
        <w:spacing w:after="0" w:line="225" w:lineRule="exact"/>
        <w:rPr>
          <w:rFonts w:ascii="Arial" w:cs="Arial" w:eastAsia="Arial" w:hAnsi="Arial"/>
          <w:sz w:val="18"/>
          <w:szCs w:val="18"/>
          <w:b w:val="1"/>
          <w:bCs w:val="1"/>
          <w:color w:val="auto"/>
        </w:rPr>
      </w:pPr>
    </w:p>
    <w:p>
      <w:pPr>
        <w:ind w:left="2040" w:hanging="520"/>
        <w:spacing w:after="0"/>
        <w:tabs>
          <w:tab w:leader="none" w:pos="2040" w:val="left"/>
        </w:tabs>
        <w:numPr>
          <w:ilvl w:val="1"/>
          <w:numId w:val="84"/>
        </w:numPr>
        <w:rPr>
          <w:rFonts w:ascii="Arial" w:cs="Arial" w:eastAsia="Arial" w:hAnsi="Arial"/>
          <w:sz w:val="18"/>
          <w:szCs w:val="18"/>
          <w:b w:val="1"/>
          <w:bCs w:val="1"/>
          <w:color w:val="auto"/>
        </w:rPr>
      </w:pPr>
      <w:r>
        <w:rPr>
          <w:rFonts w:ascii="Arial" w:cs="Arial" w:eastAsia="Arial" w:hAnsi="Arial"/>
          <w:sz w:val="18"/>
          <w:szCs w:val="18"/>
          <w:color w:val="auto"/>
        </w:rPr>
        <w:t>Financial assets at amortized cost; and</w:t>
      </w:r>
    </w:p>
    <w:p>
      <w:pPr>
        <w:spacing w:after="0" w:line="225" w:lineRule="exact"/>
        <w:rPr>
          <w:rFonts w:ascii="Arial" w:cs="Arial" w:eastAsia="Arial" w:hAnsi="Arial"/>
          <w:sz w:val="18"/>
          <w:szCs w:val="18"/>
          <w:b w:val="1"/>
          <w:bCs w:val="1"/>
          <w:color w:val="auto"/>
        </w:rPr>
      </w:pPr>
    </w:p>
    <w:p>
      <w:pPr>
        <w:ind w:left="2040" w:hanging="520"/>
        <w:spacing w:after="0"/>
        <w:tabs>
          <w:tab w:leader="none" w:pos="2040" w:val="left"/>
        </w:tabs>
        <w:numPr>
          <w:ilvl w:val="1"/>
          <w:numId w:val="84"/>
        </w:numPr>
        <w:rPr>
          <w:rFonts w:ascii="Arial" w:cs="Arial" w:eastAsia="Arial" w:hAnsi="Arial"/>
          <w:sz w:val="18"/>
          <w:szCs w:val="18"/>
          <w:b w:val="1"/>
          <w:bCs w:val="1"/>
          <w:color w:val="auto"/>
        </w:rPr>
      </w:pPr>
      <w:r>
        <w:rPr>
          <w:rFonts w:ascii="Arial" w:cs="Arial" w:eastAsia="Arial" w:hAnsi="Arial"/>
          <w:sz w:val="18"/>
          <w:szCs w:val="18"/>
          <w:color w:val="auto"/>
        </w:rPr>
        <w:t>Lease receivables.</w:t>
      </w:r>
    </w:p>
    <w:p>
      <w:pPr>
        <w:spacing w:after="0" w:line="225" w:lineRule="exact"/>
        <w:rPr>
          <w:sz w:val="20"/>
          <w:szCs w:val="20"/>
          <w:color w:val="auto"/>
        </w:rPr>
      </w:pPr>
    </w:p>
    <w:p>
      <w:pPr>
        <w:jc w:val="both"/>
        <w:ind w:left="1520"/>
        <w:spacing w:after="0" w:line="277" w:lineRule="auto"/>
        <w:rPr>
          <w:sz w:val="20"/>
          <w:szCs w:val="20"/>
          <w:color w:val="auto"/>
        </w:rPr>
      </w:pPr>
      <w:r>
        <w:rPr>
          <w:rFonts w:ascii="Arial" w:cs="Arial" w:eastAsia="Arial" w:hAnsi="Arial"/>
          <w:sz w:val="18"/>
          <w:szCs w:val="18"/>
          <w:color w:val="auto"/>
        </w:rPr>
        <w:t>The Group has elected to measure the provision for expected credit losses in respect of financial assets and lease receivables at an amount equal to the full lifetime credit losses of the instrument.</w:t>
      </w:r>
    </w:p>
    <w:p>
      <w:pPr>
        <w:spacing w:after="0" w:line="170" w:lineRule="exact"/>
        <w:rPr>
          <w:sz w:val="20"/>
          <w:szCs w:val="20"/>
          <w:color w:val="auto"/>
        </w:rPr>
      </w:pPr>
    </w:p>
    <w:p>
      <w:pPr>
        <w:jc w:val="both"/>
        <w:ind w:left="1520" w:right="20"/>
        <w:spacing w:after="0" w:line="259" w:lineRule="auto"/>
        <w:rPr>
          <w:sz w:val="20"/>
          <w:szCs w:val="20"/>
          <w:color w:val="auto"/>
        </w:rPr>
      </w:pPr>
      <w:r>
        <w:rPr>
          <w:rFonts w:ascii="Arial" w:cs="Arial" w:eastAsia="Arial" w:hAnsi="Arial"/>
          <w:sz w:val="18"/>
          <w:szCs w:val="18"/>
          <w:color w:val="auto"/>
        </w:rPr>
        <w:t>When determining whether the credit risk of a financial asset has increased significantly since initial recognition, and when estimating expected credit losses, the Group considers reasonable and supportable information that is relevant and available. Such information includes quantitative and qualitative information, and an analysis, based on the Group’s past experience and informed credit assessment, and it includes forward looking information.</w:t>
      </w:r>
    </w:p>
    <w:p>
      <w:pPr>
        <w:spacing w:after="0" w:line="187" w:lineRule="exact"/>
        <w:rPr>
          <w:sz w:val="20"/>
          <w:szCs w:val="20"/>
          <w:color w:val="auto"/>
        </w:rPr>
      </w:pPr>
    </w:p>
    <w:p>
      <w:pPr>
        <w:ind w:left="1520"/>
        <w:spacing w:after="0"/>
        <w:rPr>
          <w:sz w:val="20"/>
          <w:szCs w:val="20"/>
          <w:color w:val="auto"/>
        </w:rPr>
      </w:pPr>
      <w:r>
        <w:rPr>
          <w:rFonts w:ascii="Arial" w:cs="Arial" w:eastAsia="Arial" w:hAnsi="Arial"/>
          <w:sz w:val="18"/>
          <w:szCs w:val="18"/>
          <w:b w:val="1"/>
          <w:bCs w:val="1"/>
          <w:i w:val="1"/>
          <w:iCs w:val="1"/>
          <w:color w:val="auto"/>
        </w:rPr>
        <w:t>Measurement of expected credit losses</w:t>
      </w:r>
    </w:p>
    <w:p>
      <w:pPr>
        <w:spacing w:after="0" w:line="225" w:lineRule="exact"/>
        <w:rPr>
          <w:sz w:val="20"/>
          <w:szCs w:val="20"/>
          <w:color w:val="auto"/>
        </w:rPr>
      </w:pPr>
    </w:p>
    <w:p>
      <w:pPr>
        <w:jc w:val="both"/>
        <w:ind w:left="1520"/>
        <w:spacing w:after="0" w:line="263" w:lineRule="auto"/>
        <w:rPr>
          <w:sz w:val="20"/>
          <w:szCs w:val="20"/>
          <w:color w:val="auto"/>
        </w:rPr>
      </w:pPr>
      <w:r>
        <w:rPr>
          <w:rFonts w:ascii="Arial" w:cs="Arial" w:eastAsia="Arial" w:hAnsi="Arial"/>
          <w:sz w:val="18"/>
          <w:szCs w:val="18"/>
          <w:color w:val="auto"/>
        </w:rPr>
        <w:t>Expected credit losses are a probability-weighted estimate of credit losses. Credit losses are measured as the present value of the difference between the cash flows due to the Group in accordance with the contract and the cash flows that the Group expects to receive.</w:t>
      </w:r>
    </w:p>
    <w:p>
      <w:pPr>
        <w:spacing w:after="0" w:line="184" w:lineRule="exact"/>
        <w:rPr>
          <w:sz w:val="20"/>
          <w:szCs w:val="20"/>
          <w:color w:val="auto"/>
        </w:rPr>
      </w:pPr>
    </w:p>
    <w:p>
      <w:pPr>
        <w:jc w:val="both"/>
        <w:ind w:left="1520"/>
        <w:spacing w:after="0" w:line="263" w:lineRule="auto"/>
        <w:rPr>
          <w:sz w:val="20"/>
          <w:szCs w:val="20"/>
          <w:color w:val="auto"/>
        </w:rPr>
      </w:pPr>
      <w:r>
        <w:rPr>
          <w:rFonts w:ascii="Arial" w:cs="Arial" w:eastAsia="Arial" w:hAnsi="Arial"/>
          <w:sz w:val="18"/>
          <w:szCs w:val="18"/>
          <w:color w:val="auto"/>
        </w:rPr>
        <w:t>With respect to other debt assets, the Group measures the provision for expected credit losses at an amount equal to the full lifetime expected credit losses, other than the provisions hereunder that are measured at an amount equal to the 12-month expected credit losses:</w:t>
      </w:r>
    </w:p>
    <w:p>
      <w:pPr>
        <w:spacing w:after="0" w:line="184" w:lineRule="exact"/>
        <w:rPr>
          <w:sz w:val="20"/>
          <w:szCs w:val="20"/>
          <w:color w:val="auto"/>
        </w:rPr>
      </w:pPr>
    </w:p>
    <w:p>
      <w:pPr>
        <w:ind w:left="2040" w:hanging="507"/>
        <w:spacing w:after="0"/>
        <w:tabs>
          <w:tab w:leader="none" w:pos="2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Debt instruments that are determined to have low credit risk at the reporting date; and</w:t>
      </w:r>
    </w:p>
    <w:p>
      <w:pPr>
        <w:spacing w:after="0" w:line="225" w:lineRule="exact"/>
        <w:rPr>
          <w:rFonts w:ascii="Arial" w:cs="Arial" w:eastAsia="Arial" w:hAnsi="Arial"/>
          <w:sz w:val="18"/>
          <w:szCs w:val="18"/>
          <w:color w:val="auto"/>
        </w:rPr>
      </w:pPr>
    </w:p>
    <w:p>
      <w:pPr>
        <w:ind w:left="2040" w:hanging="507"/>
        <w:spacing w:after="0"/>
        <w:tabs>
          <w:tab w:leader="none" w:pos="2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Other debt instruments and deposits, for which credit risk has not increased significantly since initial recognition.</w:t>
      </w:r>
    </w:p>
    <w:p>
      <w:pPr>
        <w:spacing w:after="0" w:line="221"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Presentation of provision for expected credit losses in the statement of financial position</w:t>
      </w:r>
    </w:p>
    <w:p>
      <w:pPr>
        <w:spacing w:after="0" w:line="229" w:lineRule="exact"/>
        <w:rPr>
          <w:sz w:val="20"/>
          <w:szCs w:val="20"/>
          <w:color w:val="auto"/>
        </w:rPr>
      </w:pPr>
    </w:p>
    <w:p>
      <w:pPr>
        <w:jc w:val="both"/>
        <w:ind w:left="1520"/>
        <w:spacing w:after="0" w:line="277" w:lineRule="auto"/>
        <w:rPr>
          <w:sz w:val="20"/>
          <w:szCs w:val="20"/>
          <w:color w:val="auto"/>
        </w:rPr>
      </w:pPr>
      <w:r>
        <w:rPr>
          <w:rFonts w:ascii="Arial" w:cs="Arial" w:eastAsia="Arial" w:hAnsi="Arial"/>
          <w:sz w:val="18"/>
          <w:szCs w:val="18"/>
          <w:color w:val="auto"/>
        </w:rPr>
        <w:t>Provisions for expected credit losses of financial assets measured at amortized cost and are deducted from the gross carrying amount of the financial assets.</w:t>
      </w:r>
    </w:p>
    <w:p>
      <w:pPr>
        <w:spacing w:after="0" w:line="166"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Write-off</w:t>
      </w:r>
    </w:p>
    <w:p>
      <w:pPr>
        <w:spacing w:after="0" w:line="229" w:lineRule="exact"/>
        <w:rPr>
          <w:sz w:val="20"/>
          <w:szCs w:val="20"/>
          <w:color w:val="auto"/>
        </w:rPr>
      </w:pPr>
    </w:p>
    <w:p>
      <w:pPr>
        <w:jc w:val="both"/>
        <w:ind w:left="1520"/>
        <w:spacing w:after="0" w:line="257" w:lineRule="auto"/>
        <w:rPr>
          <w:sz w:val="20"/>
          <w:szCs w:val="20"/>
          <w:color w:val="auto"/>
        </w:rPr>
      </w:pPr>
      <w:r>
        <w:rPr>
          <w:rFonts w:ascii="Arial" w:cs="Arial" w:eastAsia="Arial" w:hAnsi="Arial"/>
          <w:sz w:val="18"/>
          <w:szCs w:val="18"/>
          <w:color w:val="auto"/>
        </w:rPr>
        <w:t>The gross carrying amount of a financial asset is written off when the Group does not have reasonable expectations of recovering a financial asset at its entirety or a portion thereof. This is usually the case when the Group determines that the debtor does not have assets or sources of income that may generate sufficient cash flows for paying the amounts being written off. However, financial assets that are written off could still be subject to enforcement activities in order to comply with the Group's procedures for recovery of amounts due. Write-off constitutes a de-recognition event.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225" w:lineRule="exact"/>
        <w:rPr>
          <w:sz w:val="20"/>
          <w:szCs w:val="20"/>
          <w:color w:val="auto"/>
        </w:rPr>
      </w:pPr>
    </w:p>
    <w:p>
      <w:pPr>
        <w:ind w:left="1520" w:hanging="500"/>
        <w:spacing w:after="0"/>
        <w:tabs>
          <w:tab w:leader="none" w:pos="152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non-financial assets:</w:t>
      </w:r>
    </w:p>
    <w:p>
      <w:pPr>
        <w:spacing w:after="0" w:line="229" w:lineRule="exact"/>
        <w:rPr>
          <w:rFonts w:ascii="Arial" w:cs="Arial" w:eastAsia="Arial" w:hAnsi="Arial"/>
          <w:sz w:val="18"/>
          <w:szCs w:val="18"/>
          <w:b w:val="1"/>
          <w:bCs w:val="1"/>
          <w:color w:val="auto"/>
        </w:rPr>
      </w:pPr>
    </w:p>
    <w:p>
      <w:pPr>
        <w:jc w:val="both"/>
        <w:ind w:left="15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Non-financial assets that are subject to amortization are reviewed for impairment whenever events or changes in circumstances indicate that the carrying amount may not be recoverable. An impairment loss is recognized for the amount by which an asset’s carrying amount exceeds its recoverable amount. The recoverable amount is the higher of an asset’s fair value less costs to sell and value in use. For the purposes of assessing impairment, assets are grouped at the lowest levels for which there are separately identifiable cash flows (cash-generating units).</w:t>
      </w:r>
    </w:p>
    <w:p>
      <w:pPr>
        <w:spacing w:after="0" w:line="187" w:lineRule="exact"/>
        <w:rPr>
          <w:rFonts w:ascii="Arial" w:cs="Arial" w:eastAsia="Arial" w:hAnsi="Arial"/>
          <w:sz w:val="18"/>
          <w:szCs w:val="18"/>
          <w:b w:val="1"/>
          <w:bCs w:val="1"/>
          <w:color w:val="auto"/>
        </w:rPr>
      </w:pPr>
    </w:p>
    <w:p>
      <w:pPr>
        <w:ind w:left="152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Non-financial assets that were subject to impairment are reviewed for possible reversal of the impairment recognized in respect thereof at each financial reporting date.</w:t>
      </w:r>
    </w:p>
    <w:p>
      <w:pPr>
        <w:spacing w:after="0" w:line="166" w:lineRule="exact"/>
        <w:rPr>
          <w:rFonts w:ascii="Arial" w:cs="Arial" w:eastAsia="Arial" w:hAnsi="Arial"/>
          <w:sz w:val="18"/>
          <w:szCs w:val="18"/>
          <w:b w:val="1"/>
          <w:bCs w:val="1"/>
          <w:color w:val="auto"/>
        </w:rPr>
      </w:pPr>
    </w:p>
    <w:p>
      <w:pPr>
        <w:ind w:left="1520" w:hanging="500"/>
        <w:spacing w:after="0"/>
        <w:tabs>
          <w:tab w:leader="none" w:pos="152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 and Deposit:</w:t>
      </w:r>
    </w:p>
    <w:p>
      <w:pPr>
        <w:spacing w:after="0" w:line="229" w:lineRule="exact"/>
        <w:rPr>
          <w:rFonts w:ascii="Arial" w:cs="Arial" w:eastAsia="Arial" w:hAnsi="Arial"/>
          <w:sz w:val="18"/>
          <w:szCs w:val="18"/>
          <w:b w:val="1"/>
          <w:bCs w:val="1"/>
          <w:color w:val="auto"/>
        </w:rPr>
      </w:pPr>
    </w:p>
    <w:p>
      <w:pPr>
        <w:jc w:val="both"/>
        <w:ind w:left="15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classifies certain restricted cash and deposit balances within other current assets on the consolidated statement of financial position based upon the term of the remaining restrictions. On December 31, 2021, and 2020 the Company had restricted cash and deposit of USD 2,061 thousand and USD 49 thousand, respectively.</w:t>
      </w:r>
    </w:p>
    <w:p>
      <w:pPr>
        <w:spacing w:after="0" w:line="179" w:lineRule="exact"/>
        <w:rPr>
          <w:rFonts w:ascii="Arial" w:cs="Arial" w:eastAsia="Arial" w:hAnsi="Arial"/>
          <w:sz w:val="18"/>
          <w:szCs w:val="18"/>
          <w:b w:val="1"/>
          <w:bCs w:val="1"/>
          <w:color w:val="auto"/>
        </w:rPr>
      </w:pPr>
    </w:p>
    <w:p>
      <w:pPr>
        <w:ind w:left="1520" w:hanging="500"/>
        <w:spacing w:after="0"/>
        <w:tabs>
          <w:tab w:leader="none" w:pos="152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Compensation:</w:t>
      </w:r>
    </w:p>
    <w:p>
      <w:pPr>
        <w:spacing w:after="0" w:line="229" w:lineRule="exact"/>
        <w:rPr>
          <w:rFonts w:ascii="Arial" w:cs="Arial" w:eastAsia="Arial" w:hAnsi="Arial"/>
          <w:sz w:val="18"/>
          <w:szCs w:val="18"/>
          <w:b w:val="1"/>
          <w:bCs w:val="1"/>
          <w:color w:val="auto"/>
        </w:rPr>
      </w:pPr>
    </w:p>
    <w:p>
      <w:pPr>
        <w:jc w:val="both"/>
        <w:ind w:left="152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Compensation expense related to stock options, restricted stock units and performance stock units. The Company’s employee stock purchase plan is measured and recognized in the consolidated financial statements based on the fair value of the awards granted. The fair value of each option award is estimated on the grant date using the Black-Scholes option-pricing model. Stock-based compensation expense related to stock options and restricted stock is recognized over the requisite service periods of the awards.</w:t>
      </w:r>
    </w:p>
    <w:p>
      <w:pPr>
        <w:spacing w:after="0" w:line="157" w:lineRule="exact"/>
        <w:rPr>
          <w:rFonts w:ascii="Arial" w:cs="Arial" w:eastAsia="Arial" w:hAnsi="Arial"/>
          <w:sz w:val="18"/>
          <w:szCs w:val="18"/>
          <w:b w:val="1"/>
          <w:bCs w:val="1"/>
          <w:color w:val="auto"/>
        </w:rPr>
      </w:pPr>
    </w:p>
    <w:p>
      <w:pPr>
        <w:jc w:val="both"/>
        <w:ind w:left="15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Determining the fair value of stock options awards requires judgment. The Company’s use of the Black-Scholes option pricing model requires the input of subjective assumptions. The assumptions used in the Company’s option-pricing model represent management’s best estimates. These estimates involve inherent uncertainties and the application of management’s judgment.</w:t>
      </w:r>
    </w:p>
    <w:p>
      <w:pPr>
        <w:spacing w:after="0" w:line="165" w:lineRule="exact"/>
        <w:rPr>
          <w:rFonts w:ascii="Arial" w:cs="Arial" w:eastAsia="Arial" w:hAnsi="Arial"/>
          <w:sz w:val="18"/>
          <w:szCs w:val="18"/>
          <w:b w:val="1"/>
          <w:bCs w:val="1"/>
          <w:color w:val="auto"/>
        </w:rPr>
      </w:pPr>
    </w:p>
    <w:p>
      <w:pPr>
        <w:ind w:left="1520"/>
        <w:spacing w:after="0"/>
        <w:rPr>
          <w:rFonts w:ascii="Arial" w:cs="Arial" w:eastAsia="Arial" w:hAnsi="Arial"/>
          <w:sz w:val="18"/>
          <w:szCs w:val="18"/>
          <w:b w:val="1"/>
          <w:bCs w:val="1"/>
          <w:color w:val="auto"/>
        </w:rPr>
      </w:pPr>
      <w:r>
        <w:rPr>
          <w:rFonts w:ascii="Arial" w:cs="Arial" w:eastAsia="Arial" w:hAnsi="Arial"/>
          <w:sz w:val="18"/>
          <w:szCs w:val="18"/>
          <w:color w:val="auto"/>
        </w:rPr>
        <w:t>These assumptions and estimates are as follows:</w:t>
      </w:r>
    </w:p>
    <w:p>
      <w:pPr>
        <w:spacing w:after="0" w:line="225" w:lineRule="exact"/>
        <w:rPr>
          <w:rFonts w:ascii="Arial" w:cs="Arial" w:eastAsia="Arial" w:hAnsi="Arial"/>
          <w:sz w:val="18"/>
          <w:szCs w:val="18"/>
          <w:b w:val="1"/>
          <w:bCs w:val="1"/>
          <w:color w:val="auto"/>
        </w:rPr>
      </w:pPr>
    </w:p>
    <w:p>
      <w:pPr>
        <w:ind w:left="1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Risk-Free Interest Rate. The risk-free interest rate is based on the yields of U.S. Treasury securities with maturities approximating the expected term of the awards.</w:t>
      </w:r>
    </w:p>
    <w:p>
      <w:pPr>
        <w:spacing w:after="0" w:line="170" w:lineRule="exact"/>
        <w:rPr>
          <w:rFonts w:ascii="Arial" w:cs="Arial" w:eastAsia="Arial" w:hAnsi="Arial"/>
          <w:sz w:val="18"/>
          <w:szCs w:val="18"/>
          <w:b w:val="1"/>
          <w:bCs w:val="1"/>
          <w:color w:val="auto"/>
        </w:rPr>
      </w:pPr>
    </w:p>
    <w:p>
      <w:pPr>
        <w:ind w:left="1520"/>
        <w:spacing w:after="0"/>
        <w:rPr>
          <w:rFonts w:ascii="Arial" w:cs="Arial" w:eastAsia="Arial" w:hAnsi="Arial"/>
          <w:sz w:val="18"/>
          <w:szCs w:val="18"/>
          <w:b w:val="1"/>
          <w:bCs w:val="1"/>
          <w:color w:val="auto"/>
        </w:rPr>
      </w:pPr>
      <w:r>
        <w:rPr>
          <w:rFonts w:ascii="Arial" w:cs="Arial" w:eastAsia="Arial" w:hAnsi="Arial"/>
          <w:sz w:val="17"/>
          <w:szCs w:val="17"/>
          <w:color w:val="auto"/>
        </w:rPr>
        <w:t>Expected Term. The expected term of an award is calculated based on the vesting date and the expiration date of the award.</w:t>
      </w:r>
    </w:p>
    <w:p>
      <w:pPr>
        <w:spacing w:after="0" w:line="236" w:lineRule="exact"/>
        <w:rPr>
          <w:rFonts w:ascii="Arial" w:cs="Arial" w:eastAsia="Arial" w:hAnsi="Arial"/>
          <w:sz w:val="18"/>
          <w:szCs w:val="18"/>
          <w:b w:val="1"/>
          <w:bCs w:val="1"/>
          <w:color w:val="auto"/>
        </w:rPr>
      </w:pPr>
    </w:p>
    <w:p>
      <w:pPr>
        <w:ind w:left="1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Volatility. The Company determined the price volatility based on daily price observations over a period equivalent to the expected term of the award.</w:t>
      </w:r>
    </w:p>
    <w:p>
      <w:pPr>
        <w:spacing w:after="0" w:line="170" w:lineRule="exact"/>
        <w:rPr>
          <w:rFonts w:ascii="Arial" w:cs="Arial" w:eastAsia="Arial" w:hAnsi="Arial"/>
          <w:sz w:val="18"/>
          <w:szCs w:val="18"/>
          <w:b w:val="1"/>
          <w:bCs w:val="1"/>
          <w:color w:val="auto"/>
        </w:rPr>
      </w:pPr>
    </w:p>
    <w:p>
      <w:pPr>
        <w:ind w:left="1520"/>
        <w:spacing w:after="0"/>
        <w:rPr>
          <w:rFonts w:ascii="Arial" w:cs="Arial" w:eastAsia="Arial" w:hAnsi="Arial"/>
          <w:sz w:val="18"/>
          <w:szCs w:val="18"/>
          <w:b w:val="1"/>
          <w:bCs w:val="1"/>
          <w:color w:val="auto"/>
        </w:rPr>
      </w:pPr>
      <w:r>
        <w:rPr>
          <w:rFonts w:ascii="Arial" w:cs="Arial" w:eastAsia="Arial" w:hAnsi="Arial"/>
          <w:sz w:val="17"/>
          <w:szCs w:val="17"/>
          <w:color w:val="auto"/>
        </w:rPr>
        <w:t>Dividend Yield. The dividend yield assumption is based on the Company’s history and current expectations of dividend payouts.</w:t>
      </w:r>
    </w:p>
    <w:p>
      <w:pPr>
        <w:spacing w:after="0" w:line="237" w:lineRule="exact"/>
        <w:rPr>
          <w:sz w:val="20"/>
          <w:szCs w:val="20"/>
          <w:color w:val="auto"/>
        </w:rPr>
      </w:pPr>
    </w:p>
    <w:p>
      <w:pPr>
        <w:ind w:left="1520"/>
        <w:spacing w:after="0" w:line="277" w:lineRule="auto"/>
        <w:rPr>
          <w:sz w:val="20"/>
          <w:szCs w:val="20"/>
          <w:color w:val="auto"/>
        </w:rPr>
      </w:pPr>
      <w:r>
        <w:rPr>
          <w:rFonts w:ascii="Arial" w:cs="Arial" w:eastAsia="Arial" w:hAnsi="Arial"/>
          <w:sz w:val="18"/>
          <w:szCs w:val="18"/>
          <w:color w:val="auto"/>
        </w:rPr>
        <w:t>Fair Value of Common Stock. The fair value of common stock is based on the closing price of the Company's common stock on the grant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225" w:lineRule="exact"/>
        <w:rPr>
          <w:sz w:val="20"/>
          <w:szCs w:val="20"/>
          <w:color w:val="auto"/>
        </w:rPr>
      </w:pPr>
    </w:p>
    <w:p>
      <w:pPr>
        <w:ind w:left="1520" w:hanging="500"/>
        <w:spacing w:after="0"/>
        <w:tabs>
          <w:tab w:leader="none" w:pos="152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229" w:lineRule="exact"/>
        <w:rPr>
          <w:rFonts w:ascii="Arial" w:cs="Arial" w:eastAsia="Arial" w:hAnsi="Arial"/>
          <w:sz w:val="18"/>
          <w:szCs w:val="18"/>
          <w:b w:val="1"/>
          <w:bCs w:val="1"/>
          <w:color w:val="auto"/>
        </w:rPr>
      </w:pPr>
    </w:p>
    <w:p>
      <w:pPr>
        <w:ind w:left="2040" w:hanging="507"/>
        <w:spacing w:after="0"/>
        <w:tabs>
          <w:tab w:leader="none" w:pos="20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Post-employment benefits:</w:t>
      </w:r>
    </w:p>
    <w:p>
      <w:pPr>
        <w:spacing w:after="0" w:line="225" w:lineRule="exact"/>
        <w:rPr>
          <w:rFonts w:ascii="Arial" w:cs="Arial" w:eastAsia="Arial" w:hAnsi="Arial"/>
          <w:sz w:val="18"/>
          <w:szCs w:val="18"/>
          <w:color w:val="auto"/>
        </w:rPr>
      </w:pPr>
    </w:p>
    <w:p>
      <w:pPr>
        <w:jc w:val="both"/>
        <w:ind w:left="2040"/>
        <w:spacing w:after="0" w:line="259" w:lineRule="auto"/>
        <w:rPr>
          <w:rFonts w:ascii="Arial" w:cs="Arial" w:eastAsia="Arial" w:hAnsi="Arial"/>
          <w:sz w:val="18"/>
          <w:szCs w:val="18"/>
          <w:color w:val="auto"/>
        </w:rPr>
      </w:pPr>
      <w:r>
        <w:rPr>
          <w:rFonts w:ascii="Arial" w:cs="Arial" w:eastAsia="Arial" w:hAnsi="Arial"/>
          <w:sz w:val="18"/>
          <w:szCs w:val="18"/>
          <w:color w:val="auto"/>
        </w:rPr>
        <w:t>The Group’s main post-employment benefit plan is under section 14 to the Severance Pay Law ("Section 14"), which is accounted for as a defined contribution plan. In addition, for certain employees, the Group has an additional immaterial plan that is accounted for as a defined benefit plan. These plans are usually financed by deposits with insurance companies or with funds managed by a trustee.</w:t>
      </w:r>
    </w:p>
    <w:p>
      <w:pPr>
        <w:spacing w:after="0" w:line="186" w:lineRule="exact"/>
        <w:rPr>
          <w:rFonts w:ascii="Arial" w:cs="Arial" w:eastAsia="Arial" w:hAnsi="Arial"/>
          <w:sz w:val="18"/>
          <w:szCs w:val="18"/>
          <w:color w:val="auto"/>
        </w:rPr>
      </w:pPr>
    </w:p>
    <w:p>
      <w:pPr>
        <w:ind w:left="2540" w:hanging="494"/>
        <w:spacing w:after="0"/>
        <w:tabs>
          <w:tab w:leader="none" w:pos="2540" w:val="left"/>
        </w:tabs>
        <w:numPr>
          <w:ilvl w:val="2"/>
          <w:numId w:val="87"/>
        </w:numPr>
        <w:rPr>
          <w:rFonts w:ascii="Arial" w:cs="Arial" w:eastAsia="Arial" w:hAnsi="Arial"/>
          <w:sz w:val="18"/>
          <w:szCs w:val="18"/>
          <w:color w:val="auto"/>
        </w:rPr>
      </w:pPr>
      <w:r>
        <w:rPr>
          <w:rFonts w:ascii="Arial" w:cs="Arial" w:eastAsia="Arial" w:hAnsi="Arial"/>
          <w:sz w:val="18"/>
          <w:szCs w:val="18"/>
          <w:color w:val="auto"/>
        </w:rPr>
        <w:t>Defined contribution plans:</w:t>
      </w:r>
    </w:p>
    <w:p>
      <w:pPr>
        <w:spacing w:after="0" w:line="225" w:lineRule="exact"/>
        <w:rPr>
          <w:rFonts w:ascii="Arial" w:cs="Arial" w:eastAsia="Arial" w:hAnsi="Arial"/>
          <w:sz w:val="18"/>
          <w:szCs w:val="18"/>
          <w:color w:val="auto"/>
        </w:rPr>
      </w:pPr>
    </w:p>
    <w:p>
      <w:pPr>
        <w:jc w:val="both"/>
        <w:ind w:left="2560"/>
        <w:spacing w:after="0" w:line="259" w:lineRule="auto"/>
        <w:rPr>
          <w:rFonts w:ascii="Arial" w:cs="Arial" w:eastAsia="Arial" w:hAnsi="Arial"/>
          <w:sz w:val="18"/>
          <w:szCs w:val="18"/>
          <w:color w:val="auto"/>
        </w:rPr>
      </w:pPr>
      <w:r>
        <w:rPr>
          <w:rFonts w:ascii="Arial" w:cs="Arial" w:eastAsia="Arial" w:hAnsi="Arial"/>
          <w:sz w:val="18"/>
          <w:szCs w:val="18"/>
          <w:color w:val="auto"/>
        </w:rPr>
        <w:t>A defined contribution plan is a post-employment benefit plan under which an entity pays fixed contributions into a separate entity and has no legal or constructive obligation to pay further amounts. Obligations for contributions to defined contribution pension plans are recognized as an expense in the statement of comprehensive income in the periods during which related services are rendered by employees.</w:t>
      </w:r>
    </w:p>
    <w:p>
      <w:pPr>
        <w:spacing w:after="0" w:line="186" w:lineRule="exact"/>
        <w:rPr>
          <w:rFonts w:ascii="Arial" w:cs="Arial" w:eastAsia="Arial" w:hAnsi="Arial"/>
          <w:sz w:val="18"/>
          <w:szCs w:val="18"/>
          <w:color w:val="auto"/>
        </w:rPr>
      </w:pPr>
    </w:p>
    <w:p>
      <w:pPr>
        <w:jc w:val="both"/>
        <w:ind w:left="2560"/>
        <w:spacing w:after="0" w:line="257" w:lineRule="auto"/>
        <w:rPr>
          <w:rFonts w:ascii="Arial" w:cs="Arial" w:eastAsia="Arial" w:hAnsi="Arial"/>
          <w:sz w:val="18"/>
          <w:szCs w:val="18"/>
          <w:color w:val="auto"/>
        </w:rPr>
      </w:pPr>
      <w:r>
        <w:rPr>
          <w:rFonts w:ascii="Arial" w:cs="Arial" w:eastAsia="Arial" w:hAnsi="Arial"/>
          <w:sz w:val="18"/>
          <w:szCs w:val="18"/>
          <w:color w:val="auto"/>
        </w:rPr>
        <w:t>According to Section 14, the payment of monthly deposits by a Company into recognized severance and pension funds or insurance policies releases it from any additional severance obligation to the employees that have entered into agreements with the Company pursuant to such Section 14. The Company has entered into agreements with a majority of its employees in order to implement Section 14 and as such, no additional liability with respect to such employees exist.</w:t>
      </w:r>
    </w:p>
    <w:p>
      <w:pPr>
        <w:spacing w:after="0" w:line="187" w:lineRule="exact"/>
        <w:rPr>
          <w:rFonts w:ascii="Arial" w:cs="Arial" w:eastAsia="Arial" w:hAnsi="Arial"/>
          <w:sz w:val="18"/>
          <w:szCs w:val="18"/>
          <w:color w:val="auto"/>
        </w:rPr>
      </w:pPr>
    </w:p>
    <w:p>
      <w:pPr>
        <w:ind w:left="2540" w:hanging="494"/>
        <w:spacing w:after="0"/>
        <w:tabs>
          <w:tab w:leader="none" w:pos="2540" w:val="left"/>
        </w:tabs>
        <w:numPr>
          <w:ilvl w:val="2"/>
          <w:numId w:val="87"/>
        </w:numPr>
        <w:rPr>
          <w:rFonts w:ascii="Arial" w:cs="Arial" w:eastAsia="Arial" w:hAnsi="Arial"/>
          <w:sz w:val="18"/>
          <w:szCs w:val="18"/>
          <w:color w:val="auto"/>
        </w:rPr>
      </w:pPr>
      <w:r>
        <w:rPr>
          <w:rFonts w:ascii="Arial" w:cs="Arial" w:eastAsia="Arial" w:hAnsi="Arial"/>
          <w:sz w:val="18"/>
          <w:szCs w:val="18"/>
          <w:color w:val="auto"/>
        </w:rPr>
        <w:t>Defined benefit plans:</w:t>
      </w:r>
    </w:p>
    <w:p>
      <w:pPr>
        <w:spacing w:after="0" w:line="225" w:lineRule="exact"/>
        <w:rPr>
          <w:rFonts w:ascii="Arial" w:cs="Arial" w:eastAsia="Arial" w:hAnsi="Arial"/>
          <w:sz w:val="18"/>
          <w:szCs w:val="18"/>
          <w:color w:val="auto"/>
        </w:rPr>
      </w:pPr>
    </w:p>
    <w:p>
      <w:pPr>
        <w:jc w:val="both"/>
        <w:ind w:left="2560"/>
        <w:spacing w:after="0" w:line="254" w:lineRule="auto"/>
        <w:rPr>
          <w:rFonts w:ascii="Arial" w:cs="Arial" w:eastAsia="Arial" w:hAnsi="Arial"/>
          <w:sz w:val="18"/>
          <w:szCs w:val="18"/>
          <w:color w:val="auto"/>
        </w:rPr>
      </w:pPr>
      <w:r>
        <w:rPr>
          <w:rFonts w:ascii="Arial" w:cs="Arial" w:eastAsia="Arial" w:hAnsi="Arial"/>
          <w:sz w:val="18"/>
          <w:szCs w:val="18"/>
          <w:color w:val="auto"/>
        </w:rPr>
        <w:t>A defined benefit plan is a post-employment benefit plan other than a defined contribution plan. The Group’s net obligation in respect of defined benefit pension plans is calculated separately for each plan by estimating the amount of future benefit that employees have earned in return for their service in the current and prior periods. That benefit is discounted to determine its present value, and the fair value of any plan assets is deducted. The Group determines the net interest expense (income) on the net defined benefit liability (asset) for the period by applying the discount rate used to measure the defined benefit obligation at the beginning of the annual period to the then-net defined benefit liability (asset).</w:t>
      </w:r>
    </w:p>
    <w:p>
      <w:pPr>
        <w:spacing w:after="0" w:line="194" w:lineRule="exact"/>
        <w:rPr>
          <w:rFonts w:ascii="Arial" w:cs="Arial" w:eastAsia="Arial" w:hAnsi="Arial"/>
          <w:sz w:val="18"/>
          <w:szCs w:val="18"/>
          <w:color w:val="auto"/>
        </w:rPr>
      </w:pPr>
    </w:p>
    <w:p>
      <w:pPr>
        <w:ind w:left="2040" w:hanging="507"/>
        <w:spacing w:after="0"/>
        <w:tabs>
          <w:tab w:leader="none" w:pos="20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Short-term benefits:</w:t>
      </w:r>
    </w:p>
    <w:p>
      <w:pPr>
        <w:spacing w:after="0" w:line="225" w:lineRule="exact"/>
        <w:rPr>
          <w:rFonts w:ascii="Arial" w:cs="Arial" w:eastAsia="Arial" w:hAnsi="Arial"/>
          <w:sz w:val="18"/>
          <w:szCs w:val="18"/>
          <w:color w:val="auto"/>
        </w:rPr>
      </w:pPr>
    </w:p>
    <w:p>
      <w:pPr>
        <w:ind w:left="2040"/>
        <w:spacing w:after="0" w:line="308" w:lineRule="auto"/>
        <w:rPr>
          <w:rFonts w:ascii="Arial" w:cs="Arial" w:eastAsia="Arial" w:hAnsi="Arial"/>
          <w:sz w:val="18"/>
          <w:szCs w:val="18"/>
          <w:color w:val="auto"/>
        </w:rPr>
      </w:pPr>
      <w:r>
        <w:rPr>
          <w:rFonts w:ascii="Arial" w:cs="Arial" w:eastAsia="Arial" w:hAnsi="Arial"/>
          <w:sz w:val="17"/>
          <w:szCs w:val="17"/>
          <w:color w:val="auto"/>
        </w:rPr>
        <w:t>Short-term employee benefit obligations are measured on an undiscounted basis and are expensed as the related service is provided or upon the actual absence of the employee when the benefit is not accumulated (such as maternity leave).</w:t>
      </w:r>
    </w:p>
    <w:p>
      <w:pPr>
        <w:spacing w:after="0" w:line="146" w:lineRule="exact"/>
        <w:rPr>
          <w:rFonts w:ascii="Arial" w:cs="Arial" w:eastAsia="Arial" w:hAnsi="Arial"/>
          <w:sz w:val="18"/>
          <w:szCs w:val="18"/>
          <w:color w:val="auto"/>
        </w:rPr>
      </w:pPr>
    </w:p>
    <w:p>
      <w:pPr>
        <w:jc w:val="both"/>
        <w:ind w:left="2040"/>
        <w:spacing w:after="0" w:line="263" w:lineRule="auto"/>
        <w:rPr>
          <w:rFonts w:ascii="Arial" w:cs="Arial" w:eastAsia="Arial" w:hAnsi="Arial"/>
          <w:sz w:val="18"/>
          <w:szCs w:val="18"/>
          <w:color w:val="auto"/>
        </w:rPr>
      </w:pPr>
      <w:r>
        <w:rPr>
          <w:rFonts w:ascii="Arial" w:cs="Arial" w:eastAsia="Arial" w:hAnsi="Arial"/>
          <w:sz w:val="18"/>
          <w:szCs w:val="18"/>
          <w:color w:val="auto"/>
        </w:rPr>
        <w:t>A liability is recognized for the amount expected to be paid under short-term cash bonus or profit-sharing plans if the Group has a present legal or constructive obligation to pay this amount as a result of past service provided by the employee and the obligation can be estimated reliably.</w:t>
      </w:r>
    </w:p>
    <w:p>
      <w:pPr>
        <w:spacing w:after="0" w:line="184" w:lineRule="exact"/>
        <w:rPr>
          <w:sz w:val="20"/>
          <w:szCs w:val="20"/>
          <w:color w:val="auto"/>
        </w:rPr>
      </w:pPr>
    </w:p>
    <w:p>
      <w:pPr>
        <w:ind w:left="2040"/>
        <w:spacing w:after="0" w:line="277" w:lineRule="auto"/>
        <w:rPr>
          <w:sz w:val="20"/>
          <w:szCs w:val="20"/>
          <w:color w:val="auto"/>
        </w:rPr>
      </w:pPr>
      <w:r>
        <w:rPr>
          <w:rFonts w:ascii="Arial" w:cs="Arial" w:eastAsia="Arial" w:hAnsi="Arial"/>
          <w:sz w:val="18"/>
          <w:szCs w:val="18"/>
          <w:color w:val="auto"/>
        </w:rPr>
        <w:t>The employee benefits are classified, for measurement purposes, as short-term benefits or as other long-term benefits depending on when the Group expects the benefits to be wholly settled.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225" w:lineRule="exact"/>
        <w:rPr>
          <w:sz w:val="20"/>
          <w:szCs w:val="20"/>
          <w:color w:val="auto"/>
        </w:rPr>
      </w:pPr>
    </w:p>
    <w:p>
      <w:pPr>
        <w:ind w:left="1520" w:hanging="500"/>
        <w:spacing w:after="0"/>
        <w:tabs>
          <w:tab w:leader="none" w:pos="152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rFonts w:ascii="Arial" w:cs="Arial" w:eastAsia="Arial" w:hAnsi="Arial"/>
          <w:sz w:val="18"/>
          <w:szCs w:val="18"/>
          <w:b w:val="1"/>
          <w:bCs w:val="1"/>
          <w:color w:val="auto"/>
        </w:rPr>
      </w:pPr>
    </w:p>
    <w:p>
      <w:pPr>
        <w:ind w:left="1540"/>
        <w:spacing w:after="0"/>
        <w:rPr>
          <w:rFonts w:ascii="Arial" w:cs="Arial" w:eastAsia="Arial" w:hAnsi="Arial"/>
          <w:sz w:val="18"/>
          <w:szCs w:val="18"/>
          <w:b w:val="1"/>
          <w:bCs w:val="1"/>
          <w:color w:val="auto"/>
        </w:rPr>
      </w:pPr>
      <w:r>
        <w:rPr>
          <w:rFonts w:ascii="Arial" w:cs="Arial" w:eastAsia="Arial" w:hAnsi="Arial"/>
          <w:sz w:val="18"/>
          <w:szCs w:val="18"/>
          <w:color w:val="auto"/>
        </w:rPr>
        <w:t>The Company recognizes revenue through the following five-step model:</w:t>
      </w:r>
    </w:p>
    <w:p>
      <w:pPr>
        <w:spacing w:after="0" w:line="225" w:lineRule="exact"/>
        <w:rPr>
          <w:rFonts w:ascii="Arial" w:cs="Arial" w:eastAsia="Arial" w:hAnsi="Arial"/>
          <w:sz w:val="18"/>
          <w:szCs w:val="18"/>
          <w:b w:val="1"/>
          <w:bCs w:val="1"/>
          <w:color w:val="auto"/>
        </w:rPr>
      </w:pPr>
    </w:p>
    <w:p>
      <w:pPr>
        <w:ind w:left="2040" w:hanging="507"/>
        <w:spacing w:after="0"/>
        <w:tabs>
          <w:tab w:leader="none" w:pos="20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Identifying the contract with customer.</w:t>
      </w:r>
    </w:p>
    <w:p>
      <w:pPr>
        <w:spacing w:after="0" w:line="23" w:lineRule="exact"/>
        <w:rPr>
          <w:rFonts w:ascii="Arial" w:cs="Arial" w:eastAsia="Arial" w:hAnsi="Arial"/>
          <w:sz w:val="18"/>
          <w:szCs w:val="18"/>
          <w:color w:val="auto"/>
        </w:rPr>
      </w:pPr>
    </w:p>
    <w:p>
      <w:pPr>
        <w:ind w:left="2040" w:hanging="507"/>
        <w:spacing w:after="0"/>
        <w:tabs>
          <w:tab w:leader="none" w:pos="20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Identifying distinct performance obligations in the contract.</w:t>
      </w:r>
    </w:p>
    <w:p>
      <w:pPr>
        <w:spacing w:after="0" w:line="9" w:lineRule="exact"/>
        <w:rPr>
          <w:rFonts w:ascii="Arial" w:cs="Arial" w:eastAsia="Arial" w:hAnsi="Arial"/>
          <w:sz w:val="18"/>
          <w:szCs w:val="18"/>
          <w:color w:val="auto"/>
        </w:rPr>
      </w:pPr>
    </w:p>
    <w:p>
      <w:pPr>
        <w:ind w:left="2040" w:hanging="507"/>
        <w:spacing w:after="0"/>
        <w:tabs>
          <w:tab w:leader="none" w:pos="20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Determining the transaction price.</w:t>
      </w:r>
    </w:p>
    <w:p>
      <w:pPr>
        <w:spacing w:after="0" w:line="9" w:lineRule="exact"/>
        <w:rPr>
          <w:rFonts w:ascii="Arial" w:cs="Arial" w:eastAsia="Arial" w:hAnsi="Arial"/>
          <w:sz w:val="18"/>
          <w:szCs w:val="18"/>
          <w:color w:val="auto"/>
        </w:rPr>
      </w:pPr>
    </w:p>
    <w:p>
      <w:pPr>
        <w:ind w:left="2040" w:hanging="507"/>
        <w:spacing w:after="0"/>
        <w:tabs>
          <w:tab w:leader="none" w:pos="20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Allocating the transaction price to distinct performance obligations.</w:t>
      </w:r>
    </w:p>
    <w:p>
      <w:pPr>
        <w:spacing w:after="0" w:line="9" w:lineRule="exact"/>
        <w:rPr>
          <w:rFonts w:ascii="Arial" w:cs="Arial" w:eastAsia="Arial" w:hAnsi="Arial"/>
          <w:sz w:val="18"/>
          <w:szCs w:val="18"/>
          <w:color w:val="auto"/>
        </w:rPr>
      </w:pPr>
    </w:p>
    <w:p>
      <w:pPr>
        <w:ind w:left="2040" w:hanging="507"/>
        <w:spacing w:after="0"/>
        <w:tabs>
          <w:tab w:leader="none" w:pos="20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Recognizing revenue when the performance obligations are satisfied.</w:t>
      </w:r>
    </w:p>
    <w:p>
      <w:pPr>
        <w:spacing w:after="0" w:line="211"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The Company generates revenue from transactions where it provides access to a platform for the purchase and sale of digital advertising inventory.</w:t>
      </w:r>
    </w:p>
    <w:p>
      <w:pPr>
        <w:spacing w:after="0" w:line="170"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Its customers are both ad buyers, including brands and agencies, and digital publishers.</w:t>
      </w:r>
    </w:p>
    <w:p>
      <w:pPr>
        <w:spacing w:after="0" w:line="225" w:lineRule="exact"/>
        <w:rPr>
          <w:sz w:val="20"/>
          <w:szCs w:val="20"/>
          <w:color w:val="auto"/>
        </w:rPr>
      </w:pPr>
    </w:p>
    <w:p>
      <w:pPr>
        <w:jc w:val="both"/>
        <w:ind w:left="1540"/>
        <w:spacing w:after="0" w:line="263" w:lineRule="auto"/>
        <w:rPr>
          <w:sz w:val="20"/>
          <w:szCs w:val="20"/>
          <w:color w:val="auto"/>
        </w:rPr>
      </w:pPr>
      <w:r>
        <w:rPr>
          <w:rFonts w:ascii="Arial" w:cs="Arial" w:eastAsia="Arial" w:hAnsi="Arial"/>
          <w:sz w:val="18"/>
          <w:szCs w:val="18"/>
          <w:color w:val="auto"/>
        </w:rPr>
        <w:t>The Company generates revenue through platform fees that are tailored to fit the customer’s specific utilization of its solutions and include: (i) a percentage of spend, (ii) flat fees and (iii) fixed costs per mile (“CPM”). CPM refers to a payment option in which customers pay a price for every 1,000 impressions an advertisement receives.</w:t>
      </w:r>
    </w:p>
    <w:p>
      <w:pPr>
        <w:spacing w:after="0" w:line="184"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The Company maintains agreements with each publisher and buyer in the form of written service agreements, which set out the terms of the relationship, including payment terms and access to the Company’s platform.</w:t>
      </w:r>
    </w:p>
    <w:p>
      <w:pPr>
        <w:spacing w:after="0" w:line="170" w:lineRule="exact"/>
        <w:rPr>
          <w:sz w:val="20"/>
          <w:szCs w:val="20"/>
          <w:color w:val="auto"/>
        </w:rPr>
      </w:pPr>
    </w:p>
    <w:p>
      <w:pPr>
        <w:jc w:val="both"/>
        <w:ind w:left="1540"/>
        <w:spacing w:after="0" w:line="259" w:lineRule="auto"/>
        <w:rPr>
          <w:sz w:val="20"/>
          <w:szCs w:val="20"/>
          <w:color w:val="auto"/>
        </w:rPr>
      </w:pPr>
      <w:r>
        <w:rPr>
          <w:rFonts w:ascii="Arial" w:cs="Arial" w:eastAsia="Arial" w:hAnsi="Arial"/>
          <w:sz w:val="18"/>
          <w:szCs w:val="18"/>
          <w:color w:val="auto"/>
        </w:rPr>
        <w:t>Publishers provide digital advertising inventory to the Company’s platform in the form of advertising requests, or ad request. When the Company receives ad requests from a publisher, it send bid requests to buyers, which enable buyers to bid on sellers’ digital advertising inventory according to a predefined set of parameters (e.g., demographics, intent, location, etc.). Winning bids create advertising, or paid impressions, for the publisher to present to the buyers.</w:t>
      </w:r>
    </w:p>
    <w:p>
      <w:pPr>
        <w:spacing w:after="0" w:line="187" w:lineRule="exact"/>
        <w:rPr>
          <w:sz w:val="20"/>
          <w:szCs w:val="20"/>
          <w:color w:val="auto"/>
        </w:rPr>
      </w:pPr>
    </w:p>
    <w:p>
      <w:pPr>
        <w:jc w:val="both"/>
        <w:ind w:left="1540"/>
        <w:spacing w:after="0" w:line="259" w:lineRule="auto"/>
        <w:rPr>
          <w:sz w:val="20"/>
          <w:szCs w:val="20"/>
          <w:color w:val="auto"/>
        </w:rPr>
      </w:pPr>
      <w:r>
        <w:rPr>
          <w:rFonts w:ascii="Arial" w:cs="Arial" w:eastAsia="Arial" w:hAnsi="Arial"/>
          <w:sz w:val="18"/>
          <w:szCs w:val="18"/>
          <w:color w:val="auto"/>
        </w:rPr>
        <w:t>The Company generates revenue from its Programmatic and Performance activities. Programmatic revenue is derived from the end-to-end platform of programmatic advertising, which uses software and algorithms to match buyers and sellers of digital advertising in a technology-driven marketplace. Performance revenue is derived from non-core activities, consisting of mobile-based activities that help brands reach their users.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229" w:lineRule="exact"/>
        <w:rPr>
          <w:sz w:val="20"/>
          <w:szCs w:val="20"/>
          <w:color w:val="auto"/>
        </w:rPr>
      </w:pPr>
    </w:p>
    <w:p>
      <w:pPr>
        <w:jc w:val="both"/>
        <w:ind w:left="1540"/>
        <w:spacing w:after="0" w:line="269" w:lineRule="auto"/>
        <w:rPr>
          <w:sz w:val="20"/>
          <w:szCs w:val="20"/>
          <w:color w:val="auto"/>
        </w:rPr>
      </w:pPr>
      <w:r>
        <w:rPr>
          <w:rFonts w:ascii="Arial" w:cs="Arial" w:eastAsia="Arial" w:hAnsi="Arial"/>
          <w:sz w:val="17"/>
          <w:szCs w:val="17"/>
          <w:color w:val="auto"/>
        </w:rPr>
        <w:t>Till the acquisitions of RhythmOne and its integration into the Company and the acquisition of Unruly in the beginning of 2020 (i.e. for the year ended December 31, 2019), the Company determined that it operated as a principal with respect to its Programmatic activity and therefore presented revenue on a gross basis mainly as: (i) the Company operated predominantly through a DSP platform prior to the acquisition and full integration of RhythmOne, (ii) the Company was highly involved in execution of the process, which required certain manual operations by Company employees and (iii) the Company determined that it had an implicit obligation to provide credits and inducements to customers to encourage use of the platform. That is, the Company determined, on this basis, that it had an implicit obligation to provide advertising space to customers, even though the contractual terms and conditions (including its Master Service Agreements (“MSA”) and Insertion Order (“I/O”)) do not explicitly state that the Company is obliged to deliver customers an applicable advertising space or to provide inducements to the customer. Consequently, the Company concluded that it was the primarily responsible for fulfillment of the contract.</w:t>
      </w:r>
    </w:p>
    <w:p>
      <w:pPr>
        <w:spacing w:after="0" w:line="185" w:lineRule="exact"/>
        <w:rPr>
          <w:sz w:val="20"/>
          <w:szCs w:val="20"/>
          <w:color w:val="auto"/>
        </w:rPr>
      </w:pPr>
    </w:p>
    <w:p>
      <w:pPr>
        <w:jc w:val="both"/>
        <w:ind w:left="1540"/>
        <w:spacing w:after="0" w:line="293" w:lineRule="auto"/>
        <w:rPr>
          <w:sz w:val="20"/>
          <w:szCs w:val="20"/>
          <w:color w:val="auto"/>
        </w:rPr>
      </w:pPr>
      <w:r>
        <w:rPr>
          <w:rFonts w:ascii="Arial" w:cs="Arial" w:eastAsia="Arial" w:hAnsi="Arial"/>
          <w:sz w:val="16"/>
          <w:szCs w:val="16"/>
          <w:color w:val="auto"/>
        </w:rPr>
        <w:t>Following the full integration with RhythmOne and the acquisition of Unruly in 2020, the Company positions itself as a stronger digital advertising platform in the marketplace with an integrated, end-to-end platform connecting the DSP and SSP sides of the business in a unified platform. As a result, the Company has changed its Programmatic business, tech stack, features, business models and activity as follow: (i) The Company implemented a material change in its tech stack and operations, offering new services and features that increased automation across the platform, significantly decreasing the need for Company employees to manually operate the platform; and (ii) The Company significantly decreased the level of credits and inducements offered to its customers.</w:t>
      </w:r>
    </w:p>
    <w:p>
      <w:pPr>
        <w:spacing w:after="0" w:line="164" w:lineRule="exact"/>
        <w:rPr>
          <w:sz w:val="20"/>
          <w:szCs w:val="20"/>
          <w:color w:val="auto"/>
        </w:rPr>
      </w:pPr>
    </w:p>
    <w:p>
      <w:pPr>
        <w:jc w:val="both"/>
        <w:ind w:left="1540"/>
        <w:spacing w:after="0" w:line="263" w:lineRule="auto"/>
        <w:rPr>
          <w:sz w:val="20"/>
          <w:szCs w:val="20"/>
          <w:color w:val="auto"/>
        </w:rPr>
      </w:pPr>
      <w:r>
        <w:rPr>
          <w:rFonts w:ascii="Arial" w:cs="Arial" w:eastAsia="Arial" w:hAnsi="Arial"/>
          <w:sz w:val="18"/>
          <w:szCs w:val="18"/>
          <w:color w:val="auto"/>
        </w:rPr>
        <w:t>The Company further concluded that as a result of such change in its Programmatic activity (i) it does not have manual control over the process, (ii) the Company is not primarily responsible for fulfillment, (iii) the Company has no inventory risk and (iv) the Company obtains only momentary a title to the advertising space offered via the end-to-end platform.</w:t>
      </w:r>
    </w:p>
    <w:p>
      <w:pPr>
        <w:spacing w:after="0" w:line="184" w:lineRule="exact"/>
        <w:rPr>
          <w:sz w:val="20"/>
          <w:szCs w:val="20"/>
          <w:color w:val="auto"/>
        </w:rPr>
      </w:pPr>
    </w:p>
    <w:p>
      <w:pPr>
        <w:jc w:val="both"/>
        <w:ind w:left="1540"/>
        <w:spacing w:after="0" w:line="263" w:lineRule="auto"/>
        <w:rPr>
          <w:sz w:val="20"/>
          <w:szCs w:val="20"/>
          <w:color w:val="auto"/>
        </w:rPr>
      </w:pPr>
      <w:r>
        <w:rPr>
          <w:rFonts w:ascii="Arial" w:cs="Arial" w:eastAsia="Arial" w:hAnsi="Arial"/>
          <w:sz w:val="18"/>
          <w:szCs w:val="18"/>
          <w:color w:val="auto"/>
        </w:rPr>
        <w:t>The Performance activity has not changed, and the Company is still the primary obligor to provide the services and, as such, revenue is presented on a gross basis for the Performance activity. Management is focused on driving growth with the Programmatic activity through the end-to-end platform, while the Performance activity is declining over time.</w:t>
      </w:r>
    </w:p>
    <w:p>
      <w:pPr>
        <w:spacing w:after="0" w:line="184"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The Company estimates and records reduction to revenue for volume discounts based on expected volume during the incentive term.</w:t>
      </w:r>
    </w:p>
    <w:p>
      <w:pPr>
        <w:spacing w:after="0" w:line="248" w:lineRule="exact"/>
        <w:rPr>
          <w:sz w:val="20"/>
          <w:szCs w:val="20"/>
          <w:color w:val="auto"/>
        </w:rPr>
      </w:pPr>
    </w:p>
    <w:p>
      <w:pPr>
        <w:jc w:val="both"/>
        <w:ind w:left="1540"/>
        <w:spacing w:after="0" w:line="259" w:lineRule="auto"/>
        <w:rPr>
          <w:sz w:val="20"/>
          <w:szCs w:val="20"/>
          <w:color w:val="auto"/>
        </w:rPr>
      </w:pPr>
      <w:r>
        <w:rPr>
          <w:rFonts w:ascii="Arial" w:cs="Arial" w:eastAsia="Arial" w:hAnsi="Arial"/>
          <w:sz w:val="18"/>
          <w:szCs w:val="18"/>
          <w:color w:val="auto"/>
        </w:rPr>
        <w:t>The Company generally invoices buyers at the end of each month for the full purchase price of ad impressions monetized in that month. Accounts receivables are recorded at the amount of gross billings for the amount it is responsible to collect and accounts payable are recorded at the net amount payable to publishers. Accordingly, both accounts receivable and accounts payable appear large in relation to revenue reported on a net basis.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225" w:lineRule="exact"/>
        <w:rPr>
          <w:sz w:val="20"/>
          <w:szCs w:val="20"/>
          <w:color w:val="auto"/>
        </w:rPr>
      </w:pPr>
    </w:p>
    <w:p>
      <w:pPr>
        <w:ind w:left="1540" w:right="7780" w:hanging="520"/>
        <w:spacing w:after="0" w:line="603" w:lineRule="auto"/>
        <w:tabs>
          <w:tab w:leader="none" w:pos="1521" w:val="left"/>
        </w:tabs>
        <w:numPr>
          <w:ilvl w:val="0"/>
          <w:numId w:val="89"/>
        </w:numPr>
        <w:rPr>
          <w:rFonts w:ascii="Arial" w:cs="Arial" w:eastAsia="Arial" w:hAnsi="Arial"/>
          <w:sz w:val="15"/>
          <w:szCs w:val="15"/>
          <w:b w:val="1"/>
          <w:bCs w:val="1"/>
          <w:color w:val="auto"/>
        </w:rPr>
      </w:pPr>
      <w:r>
        <w:rPr>
          <w:rFonts w:ascii="Arial" w:cs="Arial" w:eastAsia="Arial" w:hAnsi="Arial"/>
          <w:sz w:val="15"/>
          <w:szCs w:val="15"/>
          <w:b w:val="1"/>
          <w:bCs w:val="1"/>
          <w:color w:val="auto"/>
        </w:rPr>
        <w:t>Classification of expenses Cost of revenue</w:t>
      </w:r>
    </w:p>
    <w:p>
      <w:pPr>
        <w:spacing w:after="0" w:line="1" w:lineRule="exact"/>
        <w:rPr>
          <w:rFonts w:ascii="Arial" w:cs="Arial" w:eastAsia="Arial" w:hAnsi="Arial"/>
          <w:sz w:val="15"/>
          <w:szCs w:val="15"/>
          <w:b w:val="1"/>
          <w:bCs w:val="1"/>
          <w:color w:val="auto"/>
        </w:rPr>
      </w:pPr>
    </w:p>
    <w:p>
      <w:pPr>
        <w:ind w:left="1540"/>
        <w:spacing w:after="0" w:line="308" w:lineRule="auto"/>
        <w:rPr>
          <w:rFonts w:ascii="Arial" w:cs="Arial" w:eastAsia="Arial" w:hAnsi="Arial"/>
          <w:sz w:val="15"/>
          <w:szCs w:val="15"/>
          <w:b w:val="1"/>
          <w:bCs w:val="1"/>
          <w:color w:val="auto"/>
        </w:rPr>
      </w:pPr>
      <w:r>
        <w:rPr>
          <w:rFonts w:ascii="Arial" w:cs="Arial" w:eastAsia="Arial" w:hAnsi="Arial"/>
          <w:sz w:val="17"/>
          <w:szCs w:val="17"/>
          <w:color w:val="auto"/>
        </w:rPr>
        <w:t>Cost of revenue includes expenses related to third-party hosting fees and the cost of data purchased from third parties, traffic acquisition costs, data and hosting that are directly attributable to revenue generated by the Company (see Note 12).</w:t>
      </w:r>
    </w:p>
    <w:p>
      <w:pPr>
        <w:spacing w:after="0" w:line="142" w:lineRule="exact"/>
        <w:rPr>
          <w:rFonts w:ascii="Arial" w:cs="Arial" w:eastAsia="Arial" w:hAnsi="Arial"/>
          <w:sz w:val="15"/>
          <w:szCs w:val="15"/>
          <w:b w:val="1"/>
          <w:bCs w:val="1"/>
          <w:color w:val="auto"/>
        </w:rPr>
      </w:pPr>
    </w:p>
    <w:p>
      <w:pPr>
        <w:ind w:left="1540"/>
        <w:spacing w:after="0"/>
        <w:rPr>
          <w:rFonts w:ascii="Arial" w:cs="Arial" w:eastAsia="Arial" w:hAnsi="Arial"/>
          <w:sz w:val="15"/>
          <w:szCs w:val="15"/>
          <w:b w:val="1"/>
          <w:bCs w:val="1"/>
          <w:color w:val="auto"/>
        </w:rPr>
      </w:pPr>
      <w:r>
        <w:rPr>
          <w:rFonts w:ascii="Arial" w:cs="Arial" w:eastAsia="Arial" w:hAnsi="Arial"/>
          <w:sz w:val="18"/>
          <w:szCs w:val="18"/>
          <w:b w:val="1"/>
          <w:bCs w:val="1"/>
          <w:color w:val="auto"/>
        </w:rPr>
        <w:t>Research and development</w:t>
      </w:r>
    </w:p>
    <w:p>
      <w:pPr>
        <w:spacing w:after="0" w:line="229" w:lineRule="exact"/>
        <w:rPr>
          <w:rFonts w:ascii="Arial" w:cs="Arial" w:eastAsia="Arial" w:hAnsi="Arial"/>
          <w:sz w:val="15"/>
          <w:szCs w:val="15"/>
          <w:b w:val="1"/>
          <w:bCs w:val="1"/>
          <w:color w:val="auto"/>
        </w:rPr>
      </w:pPr>
    </w:p>
    <w:p>
      <w:pPr>
        <w:jc w:val="both"/>
        <w:ind w:left="1540"/>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Research and development expenses consist primarily of compensation and related costs for personnel responsible for the research and development of new and existing products and services. Where required, development expenditures are capitalized in accordance with the Company's standard internal capitalized development policy in accordance with IAS 38 (also see Note 3e(1)). All research costs are expensed when incurred.</w:t>
      </w:r>
    </w:p>
    <w:p>
      <w:pPr>
        <w:spacing w:after="0" w:line="182" w:lineRule="exact"/>
        <w:rPr>
          <w:rFonts w:ascii="Arial" w:cs="Arial" w:eastAsia="Arial" w:hAnsi="Arial"/>
          <w:sz w:val="15"/>
          <w:szCs w:val="15"/>
          <w:b w:val="1"/>
          <w:bCs w:val="1"/>
          <w:color w:val="auto"/>
        </w:rPr>
      </w:pPr>
    </w:p>
    <w:p>
      <w:pPr>
        <w:ind w:left="1540"/>
        <w:spacing w:after="0"/>
        <w:rPr>
          <w:rFonts w:ascii="Arial" w:cs="Arial" w:eastAsia="Arial" w:hAnsi="Arial"/>
          <w:sz w:val="15"/>
          <w:szCs w:val="15"/>
          <w:b w:val="1"/>
          <w:bCs w:val="1"/>
          <w:color w:val="auto"/>
        </w:rPr>
      </w:pPr>
      <w:r>
        <w:rPr>
          <w:rFonts w:ascii="Arial" w:cs="Arial" w:eastAsia="Arial" w:hAnsi="Arial"/>
          <w:sz w:val="18"/>
          <w:szCs w:val="18"/>
          <w:b w:val="1"/>
          <w:bCs w:val="1"/>
          <w:color w:val="auto"/>
        </w:rPr>
        <w:t>Selling and marketing</w:t>
      </w:r>
    </w:p>
    <w:p>
      <w:pPr>
        <w:spacing w:after="0" w:line="229" w:lineRule="exact"/>
        <w:rPr>
          <w:rFonts w:ascii="Arial" w:cs="Arial" w:eastAsia="Arial" w:hAnsi="Arial"/>
          <w:sz w:val="15"/>
          <w:szCs w:val="15"/>
          <w:b w:val="1"/>
          <w:bCs w:val="1"/>
          <w:color w:val="auto"/>
        </w:rPr>
      </w:pPr>
    </w:p>
    <w:p>
      <w:pPr>
        <w:ind w:left="1540"/>
        <w:spacing w:after="0" w:line="277" w:lineRule="auto"/>
        <w:rPr>
          <w:rFonts w:ascii="Arial" w:cs="Arial" w:eastAsia="Arial" w:hAnsi="Arial"/>
          <w:sz w:val="15"/>
          <w:szCs w:val="15"/>
          <w:b w:val="1"/>
          <w:bCs w:val="1"/>
          <w:color w:val="auto"/>
        </w:rPr>
      </w:pPr>
      <w:r>
        <w:rPr>
          <w:rFonts w:ascii="Arial" w:cs="Arial" w:eastAsia="Arial" w:hAnsi="Arial"/>
          <w:sz w:val="18"/>
          <w:szCs w:val="18"/>
          <w:color w:val="auto"/>
        </w:rPr>
        <w:t>Selling and marketing expenses consist primarily of compensation and related costs for personnel engaged in customer service, sales, and sales support functions, as well as advertising and promotional expenditures.</w:t>
      </w:r>
    </w:p>
    <w:p>
      <w:pPr>
        <w:spacing w:after="0" w:line="166" w:lineRule="exact"/>
        <w:rPr>
          <w:rFonts w:ascii="Arial" w:cs="Arial" w:eastAsia="Arial" w:hAnsi="Arial"/>
          <w:sz w:val="15"/>
          <w:szCs w:val="15"/>
          <w:b w:val="1"/>
          <w:bCs w:val="1"/>
          <w:color w:val="auto"/>
        </w:rPr>
      </w:pPr>
    </w:p>
    <w:p>
      <w:pPr>
        <w:ind w:left="1540"/>
        <w:spacing w:after="0"/>
        <w:rPr>
          <w:rFonts w:ascii="Arial" w:cs="Arial" w:eastAsia="Arial" w:hAnsi="Arial"/>
          <w:sz w:val="15"/>
          <w:szCs w:val="15"/>
          <w:b w:val="1"/>
          <w:bCs w:val="1"/>
          <w:color w:val="auto"/>
        </w:rPr>
      </w:pPr>
      <w:r>
        <w:rPr>
          <w:rFonts w:ascii="Arial" w:cs="Arial" w:eastAsia="Arial" w:hAnsi="Arial"/>
          <w:sz w:val="18"/>
          <w:szCs w:val="18"/>
          <w:b w:val="1"/>
          <w:bCs w:val="1"/>
          <w:color w:val="auto"/>
        </w:rPr>
        <w:t>General and administrative</w:t>
      </w:r>
    </w:p>
    <w:p>
      <w:pPr>
        <w:spacing w:after="0" w:line="229" w:lineRule="exact"/>
        <w:rPr>
          <w:rFonts w:ascii="Arial" w:cs="Arial" w:eastAsia="Arial" w:hAnsi="Arial"/>
          <w:sz w:val="15"/>
          <w:szCs w:val="15"/>
          <w:b w:val="1"/>
          <w:bCs w:val="1"/>
          <w:color w:val="auto"/>
        </w:rPr>
      </w:pPr>
    </w:p>
    <w:p>
      <w:pPr>
        <w:jc w:val="both"/>
        <w:ind w:left="1540"/>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General and administrative expenses consist primarily of compensation and related costs for personnel, and include costs related to the Company’s facilities, finance, human resources, information technology, legal organizations and fees for professional services. Professional services are principally comprised of outside legal, and information technology consulting and outsourcing services that are not directly related to other operational expenses.</w:t>
      </w:r>
    </w:p>
    <w:p>
      <w:pPr>
        <w:spacing w:after="0" w:line="182" w:lineRule="exact"/>
        <w:rPr>
          <w:rFonts w:ascii="Arial" w:cs="Arial" w:eastAsia="Arial" w:hAnsi="Arial"/>
          <w:sz w:val="15"/>
          <w:szCs w:val="15"/>
          <w:b w:val="1"/>
          <w:bCs w:val="1"/>
          <w:color w:val="auto"/>
        </w:rPr>
      </w:pPr>
    </w:p>
    <w:p>
      <w:pPr>
        <w:ind w:left="1520" w:hanging="500"/>
        <w:spacing w:after="0"/>
        <w:tabs>
          <w:tab w:leader="none" w:pos="152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Financing income and expenses:</w:t>
      </w:r>
    </w:p>
    <w:p>
      <w:pPr>
        <w:spacing w:after="0" w:line="229" w:lineRule="exact"/>
        <w:rPr>
          <w:rFonts w:ascii="Arial" w:cs="Arial" w:eastAsia="Arial" w:hAnsi="Arial"/>
          <w:sz w:val="18"/>
          <w:szCs w:val="18"/>
          <w:b w:val="1"/>
          <w:bCs w:val="1"/>
          <w:color w:val="auto"/>
        </w:rPr>
      </w:pPr>
    </w:p>
    <w:p>
      <w:pPr>
        <w:ind w:left="1540"/>
        <w:spacing w:after="0"/>
        <w:rPr>
          <w:rFonts w:ascii="Arial" w:cs="Arial" w:eastAsia="Arial" w:hAnsi="Arial"/>
          <w:sz w:val="18"/>
          <w:szCs w:val="18"/>
          <w:b w:val="1"/>
          <w:bCs w:val="1"/>
          <w:color w:val="auto"/>
        </w:rPr>
      </w:pPr>
      <w:r>
        <w:rPr>
          <w:rFonts w:ascii="Arial" w:cs="Arial" w:eastAsia="Arial" w:hAnsi="Arial"/>
          <w:sz w:val="18"/>
          <w:szCs w:val="18"/>
          <w:color w:val="auto"/>
        </w:rPr>
        <w:t>Financing income mainly comprises foreign currency gains and interest income.</w:t>
      </w:r>
    </w:p>
    <w:p>
      <w:pPr>
        <w:spacing w:after="0" w:line="225" w:lineRule="exact"/>
        <w:rPr>
          <w:rFonts w:ascii="Arial" w:cs="Arial" w:eastAsia="Arial" w:hAnsi="Arial"/>
          <w:sz w:val="18"/>
          <w:szCs w:val="18"/>
          <w:b w:val="1"/>
          <w:bCs w:val="1"/>
          <w:color w:val="auto"/>
        </w:rPr>
      </w:pPr>
    </w:p>
    <w:p>
      <w:pPr>
        <w:ind w:left="1540"/>
        <w:spacing w:after="0"/>
        <w:rPr>
          <w:rFonts w:ascii="Arial" w:cs="Arial" w:eastAsia="Arial" w:hAnsi="Arial"/>
          <w:sz w:val="18"/>
          <w:szCs w:val="18"/>
          <w:b w:val="1"/>
          <w:bCs w:val="1"/>
          <w:color w:val="auto"/>
        </w:rPr>
      </w:pPr>
      <w:r>
        <w:rPr>
          <w:rFonts w:ascii="Arial" w:cs="Arial" w:eastAsia="Arial" w:hAnsi="Arial"/>
          <w:sz w:val="17"/>
          <w:szCs w:val="17"/>
          <w:color w:val="auto"/>
        </w:rPr>
        <w:t>Financing expenses comprises of exchange rate differences, interest and bank fees, interest on loans and other expenses.</w:t>
      </w:r>
    </w:p>
    <w:p>
      <w:pPr>
        <w:spacing w:after="0" w:line="237" w:lineRule="exact"/>
        <w:rPr>
          <w:sz w:val="20"/>
          <w:szCs w:val="20"/>
          <w:color w:val="auto"/>
        </w:rPr>
      </w:pPr>
    </w:p>
    <w:p>
      <w:pPr>
        <w:ind w:left="1540" w:right="20"/>
        <w:spacing w:after="0" w:line="308" w:lineRule="auto"/>
        <w:rPr>
          <w:sz w:val="20"/>
          <w:szCs w:val="20"/>
          <w:color w:val="auto"/>
        </w:rPr>
      </w:pPr>
      <w:r>
        <w:rPr>
          <w:rFonts w:ascii="Arial" w:cs="Arial" w:eastAsia="Arial" w:hAnsi="Arial"/>
          <w:sz w:val="17"/>
          <w:szCs w:val="17"/>
          <w:color w:val="auto"/>
        </w:rPr>
        <w:t>Foreign currency gains and losses on financial assets and financial liabilities are reported on a net basis as either financing income or financing expenses depending on whether foreign currency movements are in a net gain or net loss position.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225" w:lineRule="exact"/>
        <w:rPr>
          <w:sz w:val="20"/>
          <w:szCs w:val="20"/>
          <w:color w:val="auto"/>
        </w:rPr>
      </w:pPr>
    </w:p>
    <w:p>
      <w:pPr>
        <w:ind w:left="1520" w:hanging="500"/>
        <w:spacing w:after="0"/>
        <w:tabs>
          <w:tab w:leader="none" w:pos="152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expense:</w:t>
      </w:r>
    </w:p>
    <w:p>
      <w:pPr>
        <w:spacing w:after="0" w:line="229" w:lineRule="exact"/>
        <w:rPr>
          <w:rFonts w:ascii="Arial" w:cs="Arial" w:eastAsia="Arial" w:hAnsi="Arial"/>
          <w:sz w:val="18"/>
          <w:szCs w:val="18"/>
          <w:b w:val="1"/>
          <w:bCs w:val="1"/>
          <w:color w:val="auto"/>
        </w:rPr>
      </w:pPr>
    </w:p>
    <w:p>
      <w:pPr>
        <w:ind w:left="1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Income tax comprises current and deferred tax. Current tax and deferred tax are recognized in the statement of comprehensive income except to the extent that they relate to a business combination.</w:t>
      </w:r>
    </w:p>
    <w:p>
      <w:pPr>
        <w:spacing w:after="0" w:line="170" w:lineRule="exact"/>
        <w:rPr>
          <w:rFonts w:ascii="Arial" w:cs="Arial" w:eastAsia="Arial" w:hAnsi="Arial"/>
          <w:sz w:val="18"/>
          <w:szCs w:val="18"/>
          <w:b w:val="1"/>
          <w:bCs w:val="1"/>
          <w:color w:val="auto"/>
        </w:rPr>
      </w:pPr>
    </w:p>
    <w:p>
      <w:pPr>
        <w:ind w:left="1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Current taxes</w:t>
      </w:r>
    </w:p>
    <w:p>
      <w:pPr>
        <w:spacing w:after="0" w:line="225" w:lineRule="exact"/>
        <w:rPr>
          <w:rFonts w:ascii="Arial" w:cs="Arial" w:eastAsia="Arial" w:hAnsi="Arial"/>
          <w:sz w:val="18"/>
          <w:szCs w:val="18"/>
          <w:b w:val="1"/>
          <w:bCs w:val="1"/>
          <w:color w:val="auto"/>
        </w:rPr>
      </w:pPr>
    </w:p>
    <w:p>
      <w:pPr>
        <w:ind w:left="1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Current tax is the expected tax payable (or receivable) on the taxable income for the year, using tax rates enacted or substantively enacted at the reporting date.</w:t>
      </w:r>
    </w:p>
    <w:p>
      <w:pPr>
        <w:spacing w:after="0" w:line="170" w:lineRule="exact"/>
        <w:rPr>
          <w:rFonts w:ascii="Arial" w:cs="Arial" w:eastAsia="Arial" w:hAnsi="Arial"/>
          <w:sz w:val="18"/>
          <w:szCs w:val="18"/>
          <w:b w:val="1"/>
          <w:bCs w:val="1"/>
          <w:color w:val="auto"/>
        </w:rPr>
      </w:pPr>
    </w:p>
    <w:p>
      <w:pPr>
        <w:ind w:left="1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Deferred taxes</w:t>
      </w:r>
    </w:p>
    <w:p>
      <w:pPr>
        <w:spacing w:after="0" w:line="225" w:lineRule="exact"/>
        <w:rPr>
          <w:rFonts w:ascii="Arial" w:cs="Arial" w:eastAsia="Arial" w:hAnsi="Arial"/>
          <w:sz w:val="18"/>
          <w:szCs w:val="18"/>
          <w:b w:val="1"/>
          <w:bCs w:val="1"/>
          <w:color w:val="auto"/>
        </w:rPr>
      </w:pPr>
    </w:p>
    <w:p>
      <w:pPr>
        <w:ind w:left="1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Deferred tax is recognized in respect of temporary differences between the carrying amounts of assets and liabilities for financial reporting purposes and the amounts used for taxation purposes.</w:t>
      </w:r>
    </w:p>
    <w:p>
      <w:pPr>
        <w:spacing w:after="0" w:line="170" w:lineRule="exact"/>
        <w:rPr>
          <w:rFonts w:ascii="Arial" w:cs="Arial" w:eastAsia="Arial" w:hAnsi="Arial"/>
          <w:sz w:val="18"/>
          <w:szCs w:val="18"/>
          <w:b w:val="1"/>
          <w:bCs w:val="1"/>
          <w:color w:val="auto"/>
        </w:rPr>
      </w:pPr>
    </w:p>
    <w:p>
      <w:pPr>
        <w:ind w:left="1540"/>
        <w:spacing w:after="0"/>
        <w:rPr>
          <w:rFonts w:ascii="Arial" w:cs="Arial" w:eastAsia="Arial" w:hAnsi="Arial"/>
          <w:sz w:val="18"/>
          <w:szCs w:val="18"/>
          <w:b w:val="1"/>
          <w:bCs w:val="1"/>
          <w:color w:val="auto"/>
        </w:rPr>
      </w:pPr>
      <w:r>
        <w:rPr>
          <w:rFonts w:ascii="Arial" w:cs="Arial" w:eastAsia="Arial" w:hAnsi="Arial"/>
          <w:sz w:val="18"/>
          <w:szCs w:val="18"/>
          <w:color w:val="auto"/>
        </w:rPr>
        <w:t>Deferred tax is not recognized for the following temporary differences:</w:t>
      </w:r>
    </w:p>
    <w:p>
      <w:pPr>
        <w:spacing w:after="0" w:line="225" w:lineRule="exact"/>
        <w:rPr>
          <w:rFonts w:ascii="Arial" w:cs="Arial" w:eastAsia="Arial" w:hAnsi="Arial"/>
          <w:sz w:val="18"/>
          <w:szCs w:val="18"/>
          <w:b w:val="1"/>
          <w:bCs w:val="1"/>
          <w:color w:val="auto"/>
        </w:rPr>
      </w:pPr>
    </w:p>
    <w:p>
      <w:pPr>
        <w:ind w:left="1800" w:hanging="267"/>
        <w:spacing w:after="0"/>
        <w:tabs>
          <w:tab w:leader="none" w:pos="18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initial recognition of goodwill; and</w:t>
      </w:r>
    </w:p>
    <w:p>
      <w:pPr>
        <w:spacing w:after="0" w:line="225" w:lineRule="exact"/>
        <w:rPr>
          <w:rFonts w:ascii="Arial" w:cs="Arial" w:eastAsia="Arial" w:hAnsi="Arial"/>
          <w:sz w:val="18"/>
          <w:szCs w:val="18"/>
          <w:color w:val="auto"/>
        </w:rPr>
      </w:pPr>
    </w:p>
    <w:p>
      <w:pPr>
        <w:ind w:left="1800" w:hanging="267"/>
        <w:spacing w:after="0" w:line="308" w:lineRule="auto"/>
        <w:tabs>
          <w:tab w:leader="none" w:pos="1800" w:val="left"/>
        </w:tabs>
        <w:numPr>
          <w:ilvl w:val="1"/>
          <w:numId w:val="90"/>
        </w:numPr>
        <w:rPr>
          <w:rFonts w:ascii="Arial" w:cs="Arial" w:eastAsia="Arial" w:hAnsi="Arial"/>
          <w:sz w:val="17"/>
          <w:szCs w:val="17"/>
          <w:color w:val="auto"/>
        </w:rPr>
      </w:pPr>
      <w:r>
        <w:rPr>
          <w:rFonts w:ascii="Arial" w:cs="Arial" w:eastAsia="Arial" w:hAnsi="Arial"/>
          <w:sz w:val="17"/>
          <w:szCs w:val="17"/>
          <w:color w:val="auto"/>
        </w:rPr>
        <w:t>Differences relating to investments in subsidiaries to the extent it is probable that they will not reverse in the foreseeable future, either by way of selling the investment or by way of distributing taxable dividends in respect of the investment.</w:t>
      </w:r>
    </w:p>
    <w:p>
      <w:pPr>
        <w:spacing w:after="0" w:line="146" w:lineRule="exact"/>
        <w:rPr>
          <w:sz w:val="20"/>
          <w:szCs w:val="20"/>
          <w:color w:val="auto"/>
        </w:rPr>
      </w:pPr>
    </w:p>
    <w:p>
      <w:pPr>
        <w:jc w:val="both"/>
        <w:ind w:left="1540"/>
        <w:spacing w:after="0" w:line="259" w:lineRule="auto"/>
        <w:rPr>
          <w:sz w:val="20"/>
          <w:szCs w:val="20"/>
          <w:color w:val="auto"/>
        </w:rPr>
      </w:pPr>
      <w:r>
        <w:rPr>
          <w:rFonts w:ascii="Arial" w:cs="Arial" w:eastAsia="Arial" w:hAnsi="Arial"/>
          <w:sz w:val="18"/>
          <w:szCs w:val="18"/>
          <w:color w:val="auto"/>
        </w:rPr>
        <w:t>The measurement of deferred tax reflects the tax consequences that would follow the manner in which the Group expects, at the end of the reporting period, to recover or settle the carrying amount of its assets and liabilities. Deferred tax is measured at the tax rates that are expected to be applied to temporary differences when they reverse, based on the laws that have been enacted or substantively enacted by the reporting date.</w:t>
      </w:r>
    </w:p>
    <w:p>
      <w:pPr>
        <w:spacing w:after="0" w:line="187" w:lineRule="exact"/>
        <w:rPr>
          <w:sz w:val="20"/>
          <w:szCs w:val="20"/>
          <w:color w:val="auto"/>
        </w:rPr>
      </w:pPr>
    </w:p>
    <w:p>
      <w:pPr>
        <w:jc w:val="both"/>
        <w:ind w:left="1540"/>
        <w:spacing w:after="0" w:line="263" w:lineRule="auto"/>
        <w:rPr>
          <w:sz w:val="20"/>
          <w:szCs w:val="20"/>
          <w:color w:val="auto"/>
        </w:rPr>
      </w:pPr>
      <w:r>
        <w:rPr>
          <w:rFonts w:ascii="Arial" w:cs="Arial" w:eastAsia="Arial" w:hAnsi="Arial"/>
          <w:sz w:val="18"/>
          <w:szCs w:val="18"/>
          <w:color w:val="auto"/>
        </w:rPr>
        <w:t>A deferred tax asset is recognized for tax benefits and deductible temporary differences, to the extent that it is probable that future taxable profits will be available against which they can be utilized. Deferred tax assets are reviewed at each reporting date and are reduced to the extent that it is no longer probable that the related tax benefit will be realized.</w:t>
      </w:r>
    </w:p>
    <w:p>
      <w:pPr>
        <w:spacing w:after="0" w:line="180"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Offset of deferred tax assets and liabilities</w:t>
      </w:r>
    </w:p>
    <w:p>
      <w:pPr>
        <w:spacing w:after="0" w:line="229"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Deferred tax assets and liabilities are offset if there is a legally enforceable right to offset current tax liabilities and assets, and they relate to income taxes levied by the same tax authority.</w:t>
      </w:r>
    </w:p>
    <w:p>
      <w:pPr>
        <w:spacing w:after="0" w:line="166"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Uncertain tax positions</w:t>
      </w:r>
    </w:p>
    <w:p>
      <w:pPr>
        <w:spacing w:after="0" w:line="229" w:lineRule="exact"/>
        <w:rPr>
          <w:sz w:val="20"/>
          <w:szCs w:val="20"/>
          <w:color w:val="auto"/>
        </w:rPr>
      </w:pPr>
    </w:p>
    <w:p>
      <w:pPr>
        <w:jc w:val="both"/>
        <w:ind w:left="1540" w:right="20"/>
        <w:spacing w:after="0" w:line="277" w:lineRule="auto"/>
        <w:rPr>
          <w:sz w:val="20"/>
          <w:szCs w:val="20"/>
          <w:color w:val="auto"/>
        </w:rPr>
      </w:pPr>
      <w:r>
        <w:rPr>
          <w:rFonts w:ascii="Arial" w:cs="Arial" w:eastAsia="Arial" w:hAnsi="Arial"/>
          <w:sz w:val="18"/>
          <w:szCs w:val="18"/>
          <w:color w:val="auto"/>
        </w:rPr>
        <w:t>A provision for uncertain tax positions, including additional tax and interest expenses, is recognized when it is more probable than not that the Group will have to use its economic resources to pay the obligation.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225" w:lineRule="exact"/>
        <w:rPr>
          <w:sz w:val="20"/>
          <w:szCs w:val="20"/>
          <w:color w:val="auto"/>
        </w:rPr>
      </w:pPr>
    </w:p>
    <w:p>
      <w:pPr>
        <w:ind w:left="1520" w:hanging="500"/>
        <w:spacing w:after="0"/>
        <w:tabs>
          <w:tab w:leader="none" w:pos="152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5" w:lineRule="exact"/>
        <w:rPr>
          <w:rFonts w:ascii="Arial" w:cs="Arial" w:eastAsia="Arial" w:hAnsi="Arial"/>
          <w:sz w:val="18"/>
          <w:szCs w:val="18"/>
          <w:b w:val="1"/>
          <w:bCs w:val="1"/>
          <w:color w:val="auto"/>
        </w:rPr>
      </w:pPr>
    </w:p>
    <w:p>
      <w:pPr>
        <w:ind w:left="15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Determining whether an arrangement contains a lease</w:t>
      </w:r>
    </w:p>
    <w:p>
      <w:pPr>
        <w:spacing w:after="0" w:line="229" w:lineRule="exact"/>
        <w:rPr>
          <w:rFonts w:ascii="Arial" w:cs="Arial" w:eastAsia="Arial" w:hAnsi="Arial"/>
          <w:sz w:val="18"/>
          <w:szCs w:val="18"/>
          <w:b w:val="1"/>
          <w:bCs w:val="1"/>
          <w:color w:val="auto"/>
        </w:rPr>
      </w:pPr>
    </w:p>
    <w:p>
      <w:pPr>
        <w:jc w:val="both"/>
        <w:ind w:left="15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the inception date of the lease, the Group determines whether the arrangement is a lease or contains a lease, while examining if it conveys the right to control the use of an identified asset for a period of time in exchange for consideration. In its assessment of whether an arrangement conveys the right to control the use of an identified asset, the Group assesses whether it has the following two rights throughout the lease term:</w:t>
      </w:r>
    </w:p>
    <w:p>
      <w:pPr>
        <w:spacing w:after="0" w:line="186" w:lineRule="exact"/>
        <w:rPr>
          <w:rFonts w:ascii="Arial" w:cs="Arial" w:eastAsia="Arial" w:hAnsi="Arial"/>
          <w:sz w:val="18"/>
          <w:szCs w:val="18"/>
          <w:b w:val="1"/>
          <w:bCs w:val="1"/>
          <w:color w:val="auto"/>
        </w:rPr>
      </w:pPr>
    </w:p>
    <w:p>
      <w:pPr>
        <w:ind w:left="1920" w:hanging="387"/>
        <w:spacing w:after="0"/>
        <w:tabs>
          <w:tab w:leader="none" w:pos="19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right to obtain substantially all the economic benefits from use of the identified asset; and</w:t>
      </w:r>
    </w:p>
    <w:p>
      <w:pPr>
        <w:spacing w:after="0" w:line="225" w:lineRule="exact"/>
        <w:rPr>
          <w:rFonts w:ascii="Arial" w:cs="Arial" w:eastAsia="Arial" w:hAnsi="Arial"/>
          <w:sz w:val="18"/>
          <w:szCs w:val="18"/>
          <w:color w:val="auto"/>
        </w:rPr>
      </w:pPr>
    </w:p>
    <w:p>
      <w:pPr>
        <w:ind w:left="1920" w:hanging="387"/>
        <w:spacing w:after="0"/>
        <w:tabs>
          <w:tab w:leader="none" w:pos="19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right to direct the identified asset’s use.</w:t>
      </w:r>
    </w:p>
    <w:p>
      <w:pPr>
        <w:spacing w:after="0" w:line="225" w:lineRule="exact"/>
        <w:rPr>
          <w:sz w:val="20"/>
          <w:szCs w:val="20"/>
          <w:color w:val="auto"/>
        </w:rPr>
      </w:pPr>
    </w:p>
    <w:p>
      <w:pPr>
        <w:jc w:val="both"/>
        <w:ind w:left="1540"/>
        <w:spacing w:after="0" w:line="308" w:lineRule="auto"/>
        <w:rPr>
          <w:sz w:val="20"/>
          <w:szCs w:val="20"/>
          <w:color w:val="auto"/>
        </w:rPr>
      </w:pPr>
      <w:r>
        <w:rPr>
          <w:rFonts w:ascii="Arial" w:cs="Arial" w:eastAsia="Arial" w:hAnsi="Arial"/>
          <w:sz w:val="17"/>
          <w:szCs w:val="17"/>
          <w:color w:val="auto"/>
        </w:rPr>
        <w:t>For lease contracts that contain non-lease components, such as services or maintenance, that are related to a lease component, the Group elected to account for the contract as a single lease component without separating the components.</w:t>
      </w:r>
    </w:p>
    <w:p>
      <w:pPr>
        <w:spacing w:after="0" w:line="142"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Leased assets and lease liabilities</w:t>
      </w:r>
    </w:p>
    <w:p>
      <w:pPr>
        <w:spacing w:after="0" w:line="229" w:lineRule="exact"/>
        <w:rPr>
          <w:sz w:val="20"/>
          <w:szCs w:val="20"/>
          <w:color w:val="auto"/>
        </w:rPr>
      </w:pPr>
    </w:p>
    <w:p>
      <w:pPr>
        <w:jc w:val="both"/>
        <w:ind w:left="1540"/>
        <w:spacing w:after="0" w:line="257" w:lineRule="auto"/>
        <w:rPr>
          <w:sz w:val="20"/>
          <w:szCs w:val="20"/>
          <w:color w:val="auto"/>
        </w:rPr>
      </w:pPr>
      <w:r>
        <w:rPr>
          <w:rFonts w:ascii="Arial" w:cs="Arial" w:eastAsia="Arial" w:hAnsi="Arial"/>
          <w:sz w:val="18"/>
          <w:szCs w:val="18"/>
          <w:color w:val="auto"/>
        </w:rPr>
        <w:t>Contracts that award the Group control over the use of a leased asset for a period of time in exchange for consideration, are accounted for as leases. Upon initial recognition, the Group recognizes a liability at the present value of the balance of future lease payments (these payments do not include certain variable lease payments), and concurrently recognizes a right-of-use asset at the same amount of the lease liability, adjusted for any prepaid or accrued lease payments or provision for impairment, plus initial direct costs incurred in respect of the lease.</w:t>
      </w:r>
    </w:p>
    <w:p>
      <w:pPr>
        <w:spacing w:after="0" w:line="188" w:lineRule="exact"/>
        <w:rPr>
          <w:sz w:val="20"/>
          <w:szCs w:val="20"/>
          <w:color w:val="auto"/>
        </w:rPr>
      </w:pPr>
    </w:p>
    <w:p>
      <w:pPr>
        <w:jc w:val="both"/>
        <w:ind w:left="1540"/>
        <w:spacing w:after="0" w:line="263" w:lineRule="auto"/>
        <w:rPr>
          <w:sz w:val="20"/>
          <w:szCs w:val="20"/>
          <w:color w:val="auto"/>
        </w:rPr>
      </w:pPr>
      <w:r>
        <w:rPr>
          <w:rFonts w:ascii="Arial" w:cs="Arial" w:eastAsia="Arial" w:hAnsi="Arial"/>
          <w:sz w:val="18"/>
          <w:szCs w:val="18"/>
          <w:color w:val="auto"/>
        </w:rPr>
        <w:t>Since the interest rate implicit in the Group's leases is not readily determinable, the incremental borrowing rate of the lessee is used. Subsequent to initial recognition, the right-of-use asset is accounted for using the cost model and depreciated over the shorter of the lease term or useful life of the asset.</w:t>
      </w:r>
    </w:p>
    <w:p>
      <w:pPr>
        <w:spacing w:after="0" w:line="180"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The lease term</w:t>
      </w:r>
    </w:p>
    <w:p>
      <w:pPr>
        <w:spacing w:after="0" w:line="229" w:lineRule="exact"/>
        <w:rPr>
          <w:sz w:val="20"/>
          <w:szCs w:val="20"/>
          <w:color w:val="auto"/>
        </w:rPr>
      </w:pPr>
    </w:p>
    <w:p>
      <w:pPr>
        <w:jc w:val="both"/>
        <w:ind w:left="1540"/>
        <w:spacing w:after="0" w:line="277" w:lineRule="auto"/>
        <w:rPr>
          <w:sz w:val="20"/>
          <w:szCs w:val="20"/>
          <w:color w:val="auto"/>
        </w:rPr>
      </w:pPr>
      <w:r>
        <w:rPr>
          <w:rFonts w:ascii="Arial" w:cs="Arial" w:eastAsia="Arial" w:hAnsi="Arial"/>
          <w:sz w:val="18"/>
          <w:szCs w:val="18"/>
          <w:color w:val="auto"/>
        </w:rPr>
        <w:t>The lease term is the non-cancellable period of the lease plus periods covered by an extension or termination option if it is reasonably certain that the lessee will or will not exercise the option, respectively.</w:t>
      </w:r>
    </w:p>
    <w:p>
      <w:pPr>
        <w:spacing w:after="0" w:line="166"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Variable lease payments</w:t>
      </w:r>
    </w:p>
    <w:p>
      <w:pPr>
        <w:spacing w:after="0" w:line="229" w:lineRule="exact"/>
        <w:rPr>
          <w:sz w:val="20"/>
          <w:szCs w:val="20"/>
          <w:color w:val="auto"/>
        </w:rPr>
      </w:pPr>
    </w:p>
    <w:p>
      <w:pPr>
        <w:jc w:val="both"/>
        <w:ind w:left="1540"/>
        <w:spacing w:after="0" w:line="311" w:lineRule="auto"/>
        <w:rPr>
          <w:sz w:val="20"/>
          <w:szCs w:val="20"/>
          <w:color w:val="auto"/>
        </w:rPr>
      </w:pPr>
      <w:r>
        <w:rPr>
          <w:rFonts w:ascii="Arial" w:cs="Arial" w:eastAsia="Arial" w:hAnsi="Arial"/>
          <w:sz w:val="16"/>
          <w:szCs w:val="16"/>
          <w:color w:val="auto"/>
        </w:rPr>
        <w:t>Variable lease payments that depend on an index or a rate, are initially measured using the index or rate existing at the commencement of the lease and are included in the measurement of the lease liability. When the cash flows of future lease payments change as the result of a change in an index or a rate, the balance of the liability is adjusted against the right-of-use asset.</w:t>
      </w:r>
    </w:p>
    <w:p>
      <w:pPr>
        <w:spacing w:after="0" w:line="149" w:lineRule="exact"/>
        <w:rPr>
          <w:sz w:val="20"/>
          <w:szCs w:val="20"/>
          <w:color w:val="auto"/>
        </w:rPr>
      </w:pPr>
    </w:p>
    <w:p>
      <w:pPr>
        <w:jc w:val="both"/>
        <w:ind w:left="1540" w:right="20"/>
        <w:spacing w:after="0" w:line="277" w:lineRule="auto"/>
        <w:rPr>
          <w:sz w:val="20"/>
          <w:szCs w:val="20"/>
          <w:color w:val="auto"/>
        </w:rPr>
      </w:pPr>
      <w:r>
        <w:rPr>
          <w:rFonts w:ascii="Arial" w:cs="Arial" w:eastAsia="Arial" w:hAnsi="Arial"/>
          <w:sz w:val="18"/>
          <w:szCs w:val="18"/>
          <w:color w:val="auto"/>
        </w:rPr>
        <w:t>Other variable lease payments that are not included in the measurement of the lease liability are recognized in profit or loss in the period in which the event or condition that triggers payment occurs.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Depreciation of right-of-use asset</w:t>
      </w:r>
    </w:p>
    <w:p>
      <w:pPr>
        <w:spacing w:after="0" w:line="229" w:lineRule="exact"/>
        <w:rPr>
          <w:sz w:val="20"/>
          <w:szCs w:val="20"/>
          <w:color w:val="auto"/>
        </w:rPr>
      </w:pPr>
    </w:p>
    <w:p>
      <w:pPr>
        <w:jc w:val="both"/>
        <w:ind w:left="1540" w:right="20"/>
        <w:spacing w:after="0" w:line="263" w:lineRule="auto"/>
        <w:rPr>
          <w:sz w:val="20"/>
          <w:szCs w:val="20"/>
          <w:color w:val="auto"/>
        </w:rPr>
      </w:pPr>
      <w:r>
        <w:rPr>
          <w:rFonts w:ascii="Arial" w:cs="Arial" w:eastAsia="Arial" w:hAnsi="Arial"/>
          <w:sz w:val="18"/>
          <w:szCs w:val="18"/>
          <w:color w:val="auto"/>
        </w:rPr>
        <w:t>After lease commencement, a right-of-use asset is measured on a cost basis less accumulated depreciation and accumulated impairment losses and is adjusted for re-measurements of the lease liability. Depreciation is calculated on a straight-line basis over the useful life or contractual lease period, whichever earlier, as follows:</w:t>
      </w:r>
    </w:p>
    <w:p>
      <w:pPr>
        <w:sectPr>
          <w:pgSz w:w="11900" w:h="16838" w:orient="portrait"/>
          <w:cols w:equalWidth="0" w:num="1">
            <w:col w:w="11240"/>
          </w:cols>
          <w:pgMar w:left="320" w:top="297" w:right="339" w:bottom="1440" w:gutter="0" w:footer="0" w:header="0"/>
        </w:sectPr>
      </w:pPr>
    </w:p>
    <w:p>
      <w:pPr>
        <w:spacing w:after="0" w:line="184" w:lineRule="exact"/>
        <w:rPr>
          <w:sz w:val="20"/>
          <w:szCs w:val="20"/>
          <w:color w:val="auto"/>
        </w:rPr>
      </w:pPr>
    </w:p>
    <w:p>
      <w:pPr>
        <w:ind w:left="1540"/>
        <w:spacing w:after="0"/>
        <w:tabs>
          <w:tab w:leader="none" w:pos="1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Buildings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1-8 years</w:t>
      </w:r>
    </w:p>
    <w:p>
      <w:pPr>
        <w:spacing w:after="0" w:line="234" w:lineRule="exact"/>
        <w:rPr>
          <w:sz w:val="20"/>
          <w:szCs w:val="20"/>
          <w:color w:val="auto"/>
        </w:rPr>
      </w:pPr>
    </w:p>
    <w:p>
      <w:pPr>
        <w:sectPr>
          <w:pgSz w:w="11900" w:h="16838" w:orient="portrait"/>
          <w:cols w:equalWidth="0" w:num="2">
            <w:col w:w="2500" w:space="720"/>
            <w:col w:w="8020"/>
          </w:cols>
          <w:pgMar w:left="320" w:top="297" w:right="339" w:bottom="1440" w:gutter="0" w:footer="0" w:header="0"/>
          <w:type w:val="continuous"/>
        </w:sectPr>
      </w:pPr>
    </w:p>
    <w:p>
      <w:pPr>
        <w:spacing w:after="0" w:line="25" w:lineRule="exact"/>
        <w:rPr>
          <w:sz w:val="20"/>
          <w:szCs w:val="20"/>
          <w:color w:val="auto"/>
        </w:rPr>
      </w:pPr>
    </w:p>
    <w:p>
      <w:pPr>
        <w:ind w:left="1540"/>
        <w:spacing w:after="0"/>
        <w:tabs>
          <w:tab w:leader="none" w:pos="1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Data centers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1-3 years</w:t>
      </w:r>
    </w:p>
    <w:p>
      <w:pPr>
        <w:spacing w:after="0" w:line="234" w:lineRule="exact"/>
        <w:rPr>
          <w:sz w:val="20"/>
          <w:szCs w:val="20"/>
          <w:color w:val="auto"/>
        </w:rPr>
      </w:pPr>
    </w:p>
    <w:p>
      <w:pPr>
        <w:sectPr>
          <w:pgSz w:w="11900" w:h="16838" w:orient="portrait"/>
          <w:cols w:equalWidth="0" w:num="2">
            <w:col w:w="2680" w:space="540"/>
            <w:col w:w="8020"/>
          </w:cols>
          <w:pgMar w:left="320" w:top="297" w:right="339" w:bottom="1440" w:gutter="0" w:footer="0" w:header="0"/>
          <w:type w:val="continuous"/>
        </w:sectPr>
      </w:pPr>
    </w:p>
    <w:p>
      <w:pPr>
        <w:spacing w:after="0" w:line="21"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Reassessment of lease liability</w:t>
      </w:r>
    </w:p>
    <w:p>
      <w:pPr>
        <w:spacing w:after="0" w:line="229" w:lineRule="exact"/>
        <w:rPr>
          <w:sz w:val="20"/>
          <w:szCs w:val="20"/>
          <w:color w:val="auto"/>
        </w:rPr>
      </w:pPr>
    </w:p>
    <w:p>
      <w:pPr>
        <w:jc w:val="both"/>
        <w:ind w:left="1540"/>
        <w:spacing w:after="0" w:line="296" w:lineRule="auto"/>
        <w:rPr>
          <w:sz w:val="20"/>
          <w:szCs w:val="20"/>
          <w:color w:val="auto"/>
        </w:rPr>
      </w:pPr>
      <w:r>
        <w:rPr>
          <w:rFonts w:ascii="Arial" w:cs="Arial" w:eastAsia="Arial" w:hAnsi="Arial"/>
          <w:sz w:val="16"/>
          <w:szCs w:val="16"/>
          <w:color w:val="auto"/>
        </w:rPr>
        <w:t>Upon the occurrence of a significant event or a significant change in circumstances that is under the control of the Group and had an effect on the decision whether it is reasonably certain that the Group will exercise an option, which was not included before in the lease term, or will not exercise an option, which was previously included in the lease term, the Group re-measures the lease liability according to the revised leased payments using a new discount rate. The change in the carrying amount of the liability is recognized against the right-of-use asset, or recognized in profit or loss if the carrying amount of the right-of-use asset was reduced to zero.</w:t>
      </w:r>
    </w:p>
    <w:p>
      <w:pPr>
        <w:spacing w:after="0" w:line="15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Lease modifications</w:t>
      </w:r>
    </w:p>
    <w:p>
      <w:pPr>
        <w:spacing w:after="0" w:line="229" w:lineRule="exact"/>
        <w:rPr>
          <w:sz w:val="20"/>
          <w:szCs w:val="20"/>
          <w:color w:val="auto"/>
        </w:rPr>
      </w:pPr>
    </w:p>
    <w:p>
      <w:pPr>
        <w:jc w:val="both"/>
        <w:ind w:left="1540"/>
        <w:spacing w:after="0" w:line="259" w:lineRule="auto"/>
        <w:rPr>
          <w:sz w:val="20"/>
          <w:szCs w:val="20"/>
          <w:color w:val="auto"/>
        </w:rPr>
      </w:pPr>
      <w:r>
        <w:rPr>
          <w:rFonts w:ascii="Arial" w:cs="Arial" w:eastAsia="Arial" w:hAnsi="Arial"/>
          <w:sz w:val="18"/>
          <w:szCs w:val="18"/>
          <w:color w:val="auto"/>
        </w:rPr>
        <w:t>When a lease modification increases the scope of the lease by adding a right to use one or more underlying assets, and the consideration for the lease increased by an amount commensurate with the stand-alone price for the increase in scope and any appropriate adjustments to that stand-alone price to reflect the contract’s circumstances, the Group accounts for the modification as a separate lease.</w:t>
      </w:r>
    </w:p>
    <w:p>
      <w:pPr>
        <w:spacing w:after="0" w:line="187" w:lineRule="exact"/>
        <w:rPr>
          <w:sz w:val="20"/>
          <w:szCs w:val="20"/>
          <w:color w:val="auto"/>
        </w:rPr>
      </w:pPr>
    </w:p>
    <w:p>
      <w:pPr>
        <w:jc w:val="both"/>
        <w:ind w:left="1540"/>
        <w:spacing w:after="0" w:line="263" w:lineRule="auto"/>
        <w:rPr>
          <w:sz w:val="20"/>
          <w:szCs w:val="20"/>
          <w:color w:val="auto"/>
        </w:rPr>
      </w:pPr>
      <w:r>
        <w:rPr>
          <w:rFonts w:ascii="Arial" w:cs="Arial" w:eastAsia="Arial" w:hAnsi="Arial"/>
          <w:sz w:val="18"/>
          <w:szCs w:val="18"/>
          <w:color w:val="auto"/>
        </w:rPr>
        <w:t>In all other cases, on the initial date of the lease modification, the Group allocates the consideration in the modified contract to the contract components, determines the revised lease term and measures the lease liability by discounting the revised lease payments using a revised discount rate.</w:t>
      </w:r>
    </w:p>
    <w:p>
      <w:pPr>
        <w:spacing w:after="0" w:line="184" w:lineRule="exact"/>
        <w:rPr>
          <w:sz w:val="20"/>
          <w:szCs w:val="20"/>
          <w:color w:val="auto"/>
        </w:rPr>
      </w:pPr>
    </w:p>
    <w:p>
      <w:pPr>
        <w:jc w:val="both"/>
        <w:ind w:left="1540"/>
        <w:spacing w:after="0" w:line="286" w:lineRule="auto"/>
        <w:rPr>
          <w:sz w:val="20"/>
          <w:szCs w:val="20"/>
          <w:color w:val="auto"/>
        </w:rPr>
      </w:pPr>
      <w:r>
        <w:rPr>
          <w:rFonts w:ascii="Arial" w:cs="Arial" w:eastAsia="Arial" w:hAnsi="Arial"/>
          <w:sz w:val="17"/>
          <w:szCs w:val="17"/>
          <w:color w:val="auto"/>
        </w:rPr>
        <w:t>For lease modifications that decrease the scope of the lease, the Group recognizes a decrease in the carrying amount of the right-of-use asset in order to reflect the partial or full cancellation of the lease, and recognizes in profit or loss a profit (or loss) that equals the difference between the decrease in the right-of-use asset and re-measurement of the lease liability.</w:t>
      </w:r>
    </w:p>
    <w:p>
      <w:pPr>
        <w:spacing w:after="0" w:line="16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For other lease modifications, the Group re-measures the lease liability against the right-of-use asset.</w:t>
      </w:r>
    </w:p>
    <w:p>
      <w:pPr>
        <w:spacing w:after="0" w:line="221"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Subleases</w:t>
      </w:r>
    </w:p>
    <w:p>
      <w:pPr>
        <w:spacing w:after="0" w:line="229" w:lineRule="exact"/>
        <w:rPr>
          <w:sz w:val="20"/>
          <w:szCs w:val="20"/>
          <w:color w:val="auto"/>
        </w:rPr>
      </w:pPr>
    </w:p>
    <w:p>
      <w:pPr>
        <w:jc w:val="both"/>
        <w:ind w:left="1540"/>
        <w:spacing w:after="0" w:line="263" w:lineRule="auto"/>
        <w:rPr>
          <w:sz w:val="20"/>
          <w:szCs w:val="20"/>
          <w:color w:val="auto"/>
        </w:rPr>
      </w:pPr>
      <w:r>
        <w:rPr>
          <w:rFonts w:ascii="Arial" w:cs="Arial" w:eastAsia="Arial" w:hAnsi="Arial"/>
          <w:sz w:val="18"/>
          <w:szCs w:val="18"/>
          <w:color w:val="auto"/>
        </w:rPr>
        <w:t>In leases where the Group subleases the underlying asset, the Group examines whether the sublease is a finance lease or operating lease with respect to the right-of-use received from the head lease. The Group examined the subleases existing on the date of initial application based on the remaining contractual terms at that date.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SIGNIFICANT ACCOUNTING POLICIES (Cont.)</w:t>
      </w:r>
    </w:p>
    <w:p>
      <w:pPr>
        <w:spacing w:after="0" w:line="225" w:lineRule="exact"/>
        <w:rPr>
          <w:sz w:val="20"/>
          <w:szCs w:val="20"/>
          <w:color w:val="auto"/>
        </w:rPr>
      </w:pPr>
    </w:p>
    <w:p>
      <w:pPr>
        <w:ind w:left="1520" w:hanging="500"/>
        <w:spacing w:after="0"/>
        <w:tabs>
          <w:tab w:leader="none" w:pos="152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jc w:val="both"/>
        <w:ind w:left="15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Group presents basic and diluted earnings per share ("EPS") data for its ordinary shares. Basic EPS is calculated by dividing the profit or loss attributable to ordinary shareholders of the Company by the weighted average number of ordinary shares outstanding during the year, adjusted for treasury shares. Diluted EPS is determined by adjusting the profit or loss attributable to ordinary shareholders of the Company and the weighted average number of ordinary shares outstanding, after adjustment for treasury shares, for the effects of all dilutive potential ordinary shares, which comprise restricted stock.</w:t>
      </w:r>
    </w:p>
    <w:p>
      <w:pPr>
        <w:spacing w:after="0" w:line="172" w:lineRule="exact"/>
        <w:rPr>
          <w:rFonts w:ascii="Arial" w:cs="Arial" w:eastAsia="Arial" w:hAnsi="Arial"/>
          <w:sz w:val="18"/>
          <w:szCs w:val="18"/>
          <w:b w:val="1"/>
          <w:bCs w:val="1"/>
          <w:color w:val="auto"/>
        </w:rPr>
      </w:pPr>
    </w:p>
    <w:p>
      <w:pPr>
        <w:ind w:left="1540" w:right="3680" w:hanging="520"/>
        <w:spacing w:after="0" w:line="503" w:lineRule="auto"/>
        <w:tabs>
          <w:tab w:leader="none" w:pos="1521"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New standards, amendments to standards and interpretations not yet adopted: Amendment to IFRS 3, Business Combinations</w:t>
      </w:r>
    </w:p>
    <w:p>
      <w:pPr>
        <w:jc w:val="both"/>
        <w:ind w:left="15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Amendment adds an exception to the principle for recognizing liabilities in IFRS 3. According to the exception, contingent liabilities are to be recognized according to the requirements of IAS 37 and IFRIC 21 and not according to the conceptual framework. The Amendment prevents differences in the timing of recognizing liabilities that could have led to the recognition of gains and losses immediately after the business combination (day 2 gain or loss). The Amendment also clarifies that contingent assets are not to be recognized on the date of the business combination. The Amendment is effective for annual periods beginning on or after January 1, 2022. The Company is examining the effects of the Amendment on the financial statements with no plans to early adopt.</w:t>
      </w:r>
    </w:p>
    <w:p>
      <w:pPr>
        <w:spacing w:after="0" w:line="16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8"/>
          <w:szCs w:val="18"/>
          <w:b w:val="1"/>
          <w:bCs w:val="1"/>
          <w:color w:val="auto"/>
        </w:rPr>
        <w:t>INCOME TAX</w:t>
      </w:r>
    </w:p>
    <w:p>
      <w:pPr>
        <w:spacing w:after="0" w:line="225" w:lineRule="exact"/>
        <w:rPr>
          <w:sz w:val="20"/>
          <w:szCs w:val="20"/>
          <w:color w:val="auto"/>
        </w:rPr>
      </w:pPr>
    </w:p>
    <w:p>
      <w:pPr>
        <w:ind w:left="1520" w:hanging="500"/>
        <w:spacing w:after="0"/>
        <w:tabs>
          <w:tab w:leader="none" w:pos="152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Details regarding the tax environment of the Israeli company:</w:t>
      </w:r>
    </w:p>
    <w:p>
      <w:pPr>
        <w:spacing w:after="0" w:line="229" w:lineRule="exact"/>
        <w:rPr>
          <w:rFonts w:ascii="Arial" w:cs="Arial" w:eastAsia="Arial" w:hAnsi="Arial"/>
          <w:sz w:val="18"/>
          <w:szCs w:val="18"/>
          <w:b w:val="1"/>
          <w:bCs w:val="1"/>
          <w:color w:val="auto"/>
        </w:rPr>
      </w:pPr>
    </w:p>
    <w:p>
      <w:pPr>
        <w:ind w:left="2040" w:hanging="507"/>
        <w:spacing w:after="0"/>
        <w:tabs>
          <w:tab w:leader="none" w:pos="20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Corporate tax rate</w:t>
      </w:r>
    </w:p>
    <w:p>
      <w:pPr>
        <w:spacing w:after="0" w:line="225"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6"/>
          <w:szCs w:val="16"/>
          <w:color w:val="auto"/>
        </w:rPr>
        <w:t>Taxable income of the Israeli parent is subject to the Israeli corporate tax at the rate of 23% in the years 2021, 2020 and 2019.</w:t>
      </w:r>
    </w:p>
    <w:p>
      <w:pPr>
        <w:spacing w:after="0" w:line="248" w:lineRule="exact"/>
        <w:rPr>
          <w:rFonts w:ascii="Arial" w:cs="Arial" w:eastAsia="Arial" w:hAnsi="Arial"/>
          <w:sz w:val="18"/>
          <w:szCs w:val="18"/>
          <w:color w:val="auto"/>
        </w:rPr>
      </w:pPr>
    </w:p>
    <w:p>
      <w:pPr>
        <w:ind w:left="2040" w:hanging="507"/>
        <w:spacing w:after="0"/>
        <w:tabs>
          <w:tab w:leader="none" w:pos="20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Benefits under the Law for the Encouragement of Capital Investments</w:t>
      </w:r>
    </w:p>
    <w:p>
      <w:pPr>
        <w:spacing w:after="0" w:line="225" w:lineRule="exact"/>
        <w:rPr>
          <w:rFonts w:ascii="Arial" w:cs="Arial" w:eastAsia="Arial" w:hAnsi="Arial"/>
          <w:sz w:val="18"/>
          <w:szCs w:val="18"/>
          <w:color w:val="auto"/>
        </w:rPr>
      </w:pPr>
    </w:p>
    <w:p>
      <w:pPr>
        <w:ind w:left="2040" w:right="20"/>
        <w:spacing w:after="0" w:line="277" w:lineRule="auto"/>
        <w:rPr>
          <w:rFonts w:ascii="Arial" w:cs="Arial" w:eastAsia="Arial" w:hAnsi="Arial"/>
          <w:sz w:val="18"/>
          <w:szCs w:val="18"/>
          <w:color w:val="auto"/>
        </w:rPr>
      </w:pPr>
      <w:r>
        <w:rPr>
          <w:rFonts w:ascii="Arial" w:cs="Arial" w:eastAsia="Arial" w:hAnsi="Arial"/>
          <w:sz w:val="18"/>
          <w:szCs w:val="18"/>
          <w:color w:val="auto"/>
        </w:rPr>
        <w:t>The Investment Law provides tax benefits for Israeli companies meeting certain requirements and criteria. The Investment Law has undergone certain amendments and reforms in recent years.</w:t>
      </w:r>
    </w:p>
    <w:p>
      <w:pPr>
        <w:spacing w:after="0" w:line="170" w:lineRule="exact"/>
        <w:rPr>
          <w:rFonts w:ascii="Arial" w:cs="Arial" w:eastAsia="Arial" w:hAnsi="Arial"/>
          <w:sz w:val="18"/>
          <w:szCs w:val="18"/>
          <w:color w:val="auto"/>
        </w:rPr>
      </w:pPr>
    </w:p>
    <w:p>
      <w:pPr>
        <w:jc w:val="both"/>
        <w:ind w:left="2040"/>
        <w:spacing w:after="0" w:line="259" w:lineRule="auto"/>
        <w:rPr>
          <w:rFonts w:ascii="Arial" w:cs="Arial" w:eastAsia="Arial" w:hAnsi="Arial"/>
          <w:sz w:val="18"/>
          <w:szCs w:val="18"/>
          <w:color w:val="auto"/>
        </w:rPr>
      </w:pPr>
      <w:r>
        <w:rPr>
          <w:rFonts w:ascii="Arial" w:cs="Arial" w:eastAsia="Arial" w:hAnsi="Arial"/>
          <w:sz w:val="18"/>
          <w:szCs w:val="18"/>
          <w:color w:val="auto"/>
        </w:rPr>
        <w:t>The Israeli parliament enacted a reform to the Investment Law, effective January 2011. According to the reform, a flat rate tax applies to companies eligible for the “Preferred Enterprise” status. In order to be eligible for Preferred Enterprise status, a company must meet minimum requirements to establish that it contributes to the country’s economic growth and is a competitive factor for the gross domestic product.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INCOME TAX (Cont.)</w:t>
      </w:r>
    </w:p>
    <w:p>
      <w:pPr>
        <w:spacing w:after="0" w:line="229" w:lineRule="exact"/>
        <w:rPr>
          <w:sz w:val="20"/>
          <w:szCs w:val="20"/>
          <w:color w:val="auto"/>
        </w:rPr>
      </w:pPr>
    </w:p>
    <w:p>
      <w:pPr>
        <w:jc w:val="both"/>
        <w:ind w:left="2040"/>
        <w:spacing w:after="0" w:line="275" w:lineRule="auto"/>
        <w:rPr>
          <w:sz w:val="20"/>
          <w:szCs w:val="20"/>
          <w:color w:val="auto"/>
        </w:rPr>
      </w:pPr>
      <w:r>
        <w:rPr>
          <w:rFonts w:ascii="Arial" w:cs="Arial" w:eastAsia="Arial" w:hAnsi="Arial"/>
          <w:sz w:val="17"/>
          <w:szCs w:val="17"/>
          <w:color w:val="auto"/>
        </w:rPr>
        <w:t>On December 22, 2016, the Knesset plenum passed the Economic Efficiency Law (Legislative Amendments for Achieving Budget Objectives in the Years 2017 and 2018) – 2016, by which the Encouragement Law was also amended (hereinafter: “the Amendment”). The Amendment added new tax benefit tracks for a “preferred technological enterprise” and a “special preferred technological enterprise” that awards reduced tax rates to a technological industrial enterprise for the purpose of encouraging activity relating to the development of qualifying intangible assets.</w:t>
      </w:r>
    </w:p>
    <w:p>
      <w:pPr>
        <w:spacing w:after="0" w:line="176" w:lineRule="exact"/>
        <w:rPr>
          <w:sz w:val="20"/>
          <w:szCs w:val="20"/>
          <w:color w:val="auto"/>
        </w:rPr>
      </w:pPr>
    </w:p>
    <w:p>
      <w:pPr>
        <w:jc w:val="both"/>
        <w:ind w:left="2040"/>
        <w:spacing w:after="0" w:line="263" w:lineRule="auto"/>
        <w:rPr>
          <w:sz w:val="20"/>
          <w:szCs w:val="20"/>
          <w:color w:val="auto"/>
        </w:rPr>
      </w:pPr>
      <w:r>
        <w:rPr>
          <w:rFonts w:ascii="Arial" w:cs="Arial" w:eastAsia="Arial" w:hAnsi="Arial"/>
          <w:sz w:val="18"/>
          <w:szCs w:val="18"/>
          <w:color w:val="auto"/>
        </w:rPr>
        <w:t>Preferred technological income that meets the conditions required in the law, will be subject to a reduced corporate tax rate of 12%, and if the preferred technological enterprise is located in Development Area A to a tax rate of 7.5%. The Amendment is effective as from January 1, 2017.</w:t>
      </w:r>
    </w:p>
    <w:p>
      <w:pPr>
        <w:spacing w:after="0" w:line="184" w:lineRule="exact"/>
        <w:rPr>
          <w:sz w:val="20"/>
          <w:szCs w:val="20"/>
          <w:color w:val="auto"/>
        </w:rPr>
      </w:pPr>
    </w:p>
    <w:p>
      <w:pPr>
        <w:jc w:val="both"/>
        <w:ind w:left="2040"/>
        <w:spacing w:after="0" w:line="311" w:lineRule="auto"/>
        <w:rPr>
          <w:sz w:val="20"/>
          <w:szCs w:val="20"/>
          <w:color w:val="auto"/>
        </w:rPr>
      </w:pPr>
      <w:r>
        <w:rPr>
          <w:rFonts w:ascii="Arial" w:cs="Arial" w:eastAsia="Arial" w:hAnsi="Arial"/>
          <w:sz w:val="16"/>
          <w:szCs w:val="16"/>
          <w:color w:val="auto"/>
        </w:rPr>
        <w:t>The Amendment also provides that no tax will apply to a dividend distributed out of preferred income to a shareholder that is an Israeli resident company. A tax rate of 20% shall apply to a dividend distributed out of preferred income and preferred technological income, to an individual shareholder or foreign resident, subject to double taxation prevention treaties.</w:t>
      </w:r>
    </w:p>
    <w:p>
      <w:pPr>
        <w:spacing w:after="0" w:line="149" w:lineRule="exact"/>
        <w:rPr>
          <w:sz w:val="20"/>
          <w:szCs w:val="20"/>
          <w:color w:val="auto"/>
        </w:rPr>
      </w:pPr>
    </w:p>
    <w:p>
      <w:pPr>
        <w:jc w:val="both"/>
        <w:ind w:left="2040"/>
        <w:spacing w:after="0" w:line="301" w:lineRule="auto"/>
        <w:rPr>
          <w:sz w:val="20"/>
          <w:szCs w:val="20"/>
          <w:color w:val="auto"/>
        </w:rPr>
      </w:pPr>
      <w:r>
        <w:rPr>
          <w:rFonts w:ascii="Arial" w:cs="Arial" w:eastAsia="Arial" w:hAnsi="Arial"/>
          <w:sz w:val="16"/>
          <w:szCs w:val="16"/>
          <w:color w:val="auto"/>
        </w:rPr>
        <w:t>On May 16, 2017, the Knesset Finance Committee approved Encouragement of Capital Investment Regulations (Preferred Technological Income and Capital Gain of Technological Enterprise) – 2017 (hereinafter: “the Regulations”), which provides rules for applying the “preferred technological enterprise” and “special preferred technological enterprise” tax benefit tracks including the Nexus formula that provides the mechanism for allocating the technological income eligible for the benefits.</w:t>
      </w:r>
    </w:p>
    <w:p>
      <w:pPr>
        <w:spacing w:after="0" w:line="157" w:lineRule="exact"/>
        <w:rPr>
          <w:sz w:val="20"/>
          <w:szCs w:val="20"/>
          <w:color w:val="auto"/>
        </w:rPr>
      </w:pPr>
    </w:p>
    <w:p>
      <w:pPr>
        <w:jc w:val="both"/>
        <w:ind w:left="2040" w:right="20"/>
        <w:spacing w:after="0" w:line="277" w:lineRule="auto"/>
        <w:rPr>
          <w:sz w:val="20"/>
          <w:szCs w:val="20"/>
          <w:color w:val="auto"/>
        </w:rPr>
      </w:pPr>
      <w:r>
        <w:rPr>
          <w:rFonts w:ascii="Arial" w:cs="Arial" w:eastAsia="Arial" w:hAnsi="Arial"/>
          <w:sz w:val="18"/>
          <w:szCs w:val="18"/>
          <w:color w:val="auto"/>
        </w:rPr>
        <w:t>In June 2016, Taptica, a wholly owned subsidiary, appealed for a tax ruling to apply "the preferred enterprise" track, which was obtained in April 2017 and was applied for the years 2016-2020.</w:t>
      </w:r>
    </w:p>
    <w:p>
      <w:pPr>
        <w:spacing w:after="0" w:line="170" w:lineRule="exact"/>
        <w:rPr>
          <w:sz w:val="20"/>
          <w:szCs w:val="20"/>
          <w:color w:val="auto"/>
        </w:rPr>
      </w:pPr>
    </w:p>
    <w:p>
      <w:pPr>
        <w:jc w:val="both"/>
        <w:ind w:left="2040"/>
        <w:spacing w:after="0" w:line="287" w:lineRule="auto"/>
        <w:rPr>
          <w:sz w:val="20"/>
          <w:szCs w:val="20"/>
          <w:color w:val="auto"/>
        </w:rPr>
      </w:pPr>
      <w:r>
        <w:rPr>
          <w:rFonts w:ascii="Arial" w:cs="Arial" w:eastAsia="Arial" w:hAnsi="Arial"/>
          <w:sz w:val="16"/>
          <w:szCs w:val="16"/>
          <w:color w:val="auto"/>
        </w:rPr>
        <w:t>On December 28, 2016, Taptica Social, a wholly owned subsidiary, together with Taptica appealed for a tax ruling for a restructuring, whereby Taptica Social will be merged with and into Taptica in such a manner that Taptica Social will transfer to Taptica all its assets and liabilities for no consideration and thereafter will be liquidated. Accordingly, on June 6, 2017, the merger between the companies was approved by the Israeli Tax Authority and the effective merge date was determined as December 31, 2016. As a result of the merger, the ruling previously obtained by Taptica regarding the preferred income required re- validation from the Israeli tax authority. Therefore, Taptica appealed and received on December 2018 re-validation from the Israeli tax authority for the ruling which determines that Taptica owns an industrial enterprise and Preferred Technological Enterprise as defined in the Law for the Encouragement of Capital Investments – 1959. In addition, as a part of the re-validation of the ruling, Taptica also obtained an amendment that includes the acquisition and absorption of Tremor’s operation in the rulings and apply the Law for the Encouragement of Capital Investments to this purchased activity as well. The tax rulings which were obtained in December 2018 and were applied for the years 2017-2021.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INCOME TAX (Cont.)</w:t>
      </w:r>
    </w:p>
    <w:p>
      <w:pPr>
        <w:spacing w:after="0" w:line="229" w:lineRule="exact"/>
        <w:rPr>
          <w:sz w:val="20"/>
          <w:szCs w:val="20"/>
          <w:color w:val="auto"/>
        </w:rPr>
      </w:pPr>
    </w:p>
    <w:p>
      <w:pPr>
        <w:jc w:val="both"/>
        <w:ind w:left="2040"/>
        <w:spacing w:after="0" w:line="290" w:lineRule="auto"/>
        <w:rPr>
          <w:sz w:val="20"/>
          <w:szCs w:val="20"/>
          <w:color w:val="auto"/>
        </w:rPr>
      </w:pPr>
      <w:r>
        <w:rPr>
          <w:rFonts w:ascii="Arial" w:cs="Arial" w:eastAsia="Arial" w:hAnsi="Arial"/>
          <w:sz w:val="16"/>
          <w:szCs w:val="16"/>
          <w:color w:val="auto"/>
        </w:rPr>
        <w:t>On December 3, 2018, the Company together with Taptica submitted a request to the Israeli tax authorities for a tax ruling regarding to restructuring, whereby Taptica will be merged with and into the Company in such a manner that Taptica will transfer to the Company all its assets and liabilities for no consideration and thereafter will be liquidated. As of May 8, 2019, the merger between the companies approved by the Israeli Tax Authority and the effective merge date was determined as December 31, 2018. Following the approval of the restructuring, the tax ruling regarding Taptica owns an industrial enterprise and preferred technological enterprise which was obtained in December 2018 was applied on the merged Company for the years 2017-2021 with relative agreed changes. As of beginning of 2022, the Company approaches the Israeli Tax Authority, for the renewal of the tax ruling, regarding industrial enterprise and preferred technological enterprise, for the next five years.</w:t>
      </w:r>
    </w:p>
    <w:p>
      <w:pPr>
        <w:spacing w:after="0" w:line="161" w:lineRule="exact"/>
        <w:rPr>
          <w:sz w:val="20"/>
          <w:szCs w:val="20"/>
          <w:color w:val="auto"/>
        </w:rPr>
      </w:pPr>
    </w:p>
    <w:p>
      <w:pPr>
        <w:ind w:left="1520" w:hanging="500"/>
        <w:spacing w:after="0"/>
        <w:tabs>
          <w:tab w:leader="none" w:pos="152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Details regarding the tax environment of the non-Israeli companies:</w:t>
      </w:r>
    </w:p>
    <w:p>
      <w:pPr>
        <w:spacing w:after="0" w:line="229" w:lineRule="exact"/>
        <w:rPr>
          <w:rFonts w:ascii="Arial" w:cs="Arial" w:eastAsia="Arial" w:hAnsi="Arial"/>
          <w:sz w:val="18"/>
          <w:szCs w:val="18"/>
          <w:b w:val="1"/>
          <w:bCs w:val="1"/>
          <w:color w:val="auto"/>
        </w:rPr>
      </w:pPr>
    </w:p>
    <w:p>
      <w:pPr>
        <w:ind w:left="1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Non-Israeli subsidiaries are taxed according to the tax laws in their countries of residence as reported in their statutory financial statement prepared under local accounting regulations.</w:t>
      </w:r>
    </w:p>
    <w:p>
      <w:pPr>
        <w:spacing w:after="0" w:line="170" w:lineRule="exact"/>
        <w:rPr>
          <w:rFonts w:ascii="Arial" w:cs="Arial" w:eastAsia="Arial" w:hAnsi="Arial"/>
          <w:sz w:val="18"/>
          <w:szCs w:val="18"/>
          <w:b w:val="1"/>
          <w:bCs w:val="1"/>
          <w:color w:val="auto"/>
        </w:rPr>
      </w:pPr>
    </w:p>
    <w:p>
      <w:pPr>
        <w:ind w:left="2040" w:hanging="507"/>
        <w:spacing w:after="0"/>
        <w:tabs>
          <w:tab w:leader="none" w:pos="20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US</w:t>
      </w:r>
    </w:p>
    <w:p>
      <w:pPr>
        <w:spacing w:after="0" w:line="225" w:lineRule="exact"/>
        <w:rPr>
          <w:rFonts w:ascii="Arial" w:cs="Arial" w:eastAsia="Arial" w:hAnsi="Arial"/>
          <w:sz w:val="18"/>
          <w:szCs w:val="18"/>
          <w:color w:val="auto"/>
        </w:rPr>
      </w:pPr>
    </w:p>
    <w:p>
      <w:pPr>
        <w:jc w:val="both"/>
        <w:ind w:left="2040"/>
        <w:spacing w:after="0" w:line="263" w:lineRule="auto"/>
        <w:rPr>
          <w:rFonts w:ascii="Arial" w:cs="Arial" w:eastAsia="Arial" w:hAnsi="Arial"/>
          <w:sz w:val="18"/>
          <w:szCs w:val="18"/>
          <w:color w:val="auto"/>
        </w:rPr>
      </w:pPr>
      <w:r>
        <w:rPr>
          <w:rFonts w:ascii="Arial" w:cs="Arial" w:eastAsia="Arial" w:hAnsi="Arial"/>
          <w:sz w:val="18"/>
          <w:szCs w:val="18"/>
          <w:color w:val="auto"/>
        </w:rPr>
        <w:t>As of the acquisition date of RhythmOne, RhythmOne had U.S. federal net operating loss carryforwards, or NOLs, of approximately USD 100.8 million, which will expire starting 2038. As of December 31, 2021, the NOLs are approximately USD 79.4 million (2020: USD 102 million).</w:t>
      </w:r>
    </w:p>
    <w:p>
      <w:pPr>
        <w:spacing w:after="0" w:line="183" w:lineRule="exact"/>
        <w:rPr>
          <w:rFonts w:ascii="Arial" w:cs="Arial" w:eastAsia="Arial" w:hAnsi="Arial"/>
          <w:sz w:val="18"/>
          <w:szCs w:val="18"/>
          <w:color w:val="auto"/>
        </w:rPr>
      </w:pPr>
    </w:p>
    <w:p>
      <w:pPr>
        <w:jc w:val="both"/>
        <w:ind w:left="2040"/>
        <w:spacing w:after="0" w:line="273" w:lineRule="auto"/>
        <w:rPr>
          <w:rFonts w:ascii="Arial" w:cs="Arial" w:eastAsia="Arial" w:hAnsi="Arial"/>
          <w:sz w:val="18"/>
          <w:szCs w:val="18"/>
          <w:color w:val="auto"/>
        </w:rPr>
      </w:pPr>
      <w:r>
        <w:rPr>
          <w:rFonts w:ascii="Arial" w:cs="Arial" w:eastAsia="Arial" w:hAnsi="Arial"/>
          <w:sz w:val="17"/>
          <w:szCs w:val="17"/>
          <w:color w:val="auto"/>
        </w:rPr>
        <w:t>Additionally, for tax years beginning after December 31, 2017, the Tax Cuts and Jobs Act limits the NOL deduction to 80% of taxable income, repeals carryback of all NOLs arising in a tax year ending after 2017 and permits indefinite carryforward for all such NOLs. NOL’s arising in a tax year ending on or before 2017 can offset 100% of taxable income, are available for carryback, and expire 20 years after they arise. It should be noted that the Coronavirus Aid, Relief and Economic Security (“CARES”) Act suspended the 80% limitation for tax years 2018, 2019 and 2020 and allowed for a 5-year carryback for NOLs for tax years beginning after December 31, 2017, and before January 1, 2021.</w:t>
      </w:r>
    </w:p>
    <w:p>
      <w:pPr>
        <w:spacing w:after="0" w:line="177" w:lineRule="exact"/>
        <w:rPr>
          <w:rFonts w:ascii="Arial" w:cs="Arial" w:eastAsia="Arial" w:hAnsi="Arial"/>
          <w:sz w:val="18"/>
          <w:szCs w:val="18"/>
          <w:color w:val="auto"/>
        </w:rPr>
      </w:pPr>
    </w:p>
    <w:p>
      <w:pPr>
        <w:jc w:val="both"/>
        <w:ind w:left="2040"/>
        <w:spacing w:after="0" w:line="279" w:lineRule="auto"/>
        <w:rPr>
          <w:rFonts w:ascii="Arial" w:cs="Arial" w:eastAsia="Arial" w:hAnsi="Arial"/>
          <w:sz w:val="18"/>
          <w:szCs w:val="18"/>
          <w:color w:val="auto"/>
        </w:rPr>
      </w:pPr>
      <w:r>
        <w:rPr>
          <w:rFonts w:ascii="Arial" w:cs="Arial" w:eastAsia="Arial" w:hAnsi="Arial"/>
          <w:sz w:val="17"/>
          <w:szCs w:val="17"/>
          <w:color w:val="auto"/>
        </w:rPr>
        <w:t>Pursuant to Section 382 of the Internal Revenue Code, RhythmOne underwent ownership changes for tax purposes (i.e., a change of more than 50% in stock ownership involving 5% shareholders) on April 2, 2019. As a result, the use of the Company’s total US NOL carryforwards and tax credits generated prior to the ownership change is subject to annual use limitations under Section 382 and potentially also under section 383 of the Code and comparable state income tax laws.</w:t>
      </w:r>
    </w:p>
    <w:p>
      <w:pPr>
        <w:spacing w:after="0" w:line="171" w:lineRule="exact"/>
        <w:rPr>
          <w:rFonts w:ascii="Arial" w:cs="Arial" w:eastAsia="Arial" w:hAnsi="Arial"/>
          <w:sz w:val="18"/>
          <w:szCs w:val="18"/>
          <w:color w:val="auto"/>
        </w:rPr>
      </w:pPr>
    </w:p>
    <w:p>
      <w:pPr>
        <w:ind w:left="2040" w:hanging="507"/>
        <w:spacing w:after="0"/>
        <w:tabs>
          <w:tab w:leader="none" w:pos="20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International</w:t>
      </w:r>
    </w:p>
    <w:p>
      <w:pPr>
        <w:spacing w:after="0" w:line="225" w:lineRule="exact"/>
        <w:rPr>
          <w:sz w:val="20"/>
          <w:szCs w:val="20"/>
          <w:color w:val="auto"/>
        </w:rPr>
      </w:pPr>
    </w:p>
    <w:p>
      <w:pPr>
        <w:ind w:left="2040"/>
        <w:spacing w:after="0" w:line="277" w:lineRule="auto"/>
        <w:rPr>
          <w:sz w:val="20"/>
          <w:szCs w:val="20"/>
          <w:color w:val="auto"/>
        </w:rPr>
      </w:pPr>
      <w:r>
        <w:rPr>
          <w:rFonts w:ascii="Arial" w:cs="Arial" w:eastAsia="Arial" w:hAnsi="Arial"/>
          <w:sz w:val="18"/>
          <w:szCs w:val="18"/>
          <w:color w:val="auto"/>
        </w:rPr>
        <w:t>As of the acquisition date of Unruly, Unruly had International NOLs of approximately USD 24 million. As of December 31, 2021, the NOLs are approximately USD 16.6 million (2020: USD 23.2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INCOME TAX (Cont.)</w:t>
      </w:r>
    </w:p>
    <w:p>
      <w:pPr>
        <w:spacing w:after="0" w:line="225"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Arial" w:cs="Arial" w:eastAsia="Arial" w:hAnsi="Arial"/>
                <w:sz w:val="18"/>
                <w:szCs w:val="18"/>
                <w:b w:val="1"/>
                <w:bCs w:val="1"/>
                <w:color w:val="auto"/>
              </w:rPr>
              <w:t>c.</w:t>
            </w:r>
          </w:p>
        </w:tc>
        <w:tc>
          <w:tcPr>
            <w:tcW w:w="5620" w:type="dxa"/>
            <w:vAlign w:val="bottom"/>
            <w:gridSpan w:val="2"/>
          </w:tcPr>
          <w:p>
            <w:pPr>
              <w:ind w:left="180"/>
              <w:spacing w:after="0"/>
              <w:rPr>
                <w:sz w:val="20"/>
                <w:szCs w:val="20"/>
                <w:color w:val="auto"/>
              </w:rPr>
            </w:pPr>
            <w:r>
              <w:rPr>
                <w:rFonts w:ascii="Arial" w:cs="Arial" w:eastAsia="Arial" w:hAnsi="Arial"/>
                <w:sz w:val="18"/>
                <w:szCs w:val="18"/>
                <w:b w:val="1"/>
                <w:bCs w:val="1"/>
                <w:color w:val="auto"/>
              </w:rPr>
              <w:t>Composition of income tax benefit:</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Year ended</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1"/>
        </w:trPr>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8"/>
                <w:szCs w:val="18"/>
                <w:b w:val="1"/>
                <w:bCs w:val="1"/>
                <w:color w:val="auto"/>
                <w:w w:val="89"/>
              </w:rPr>
              <w:t>December 31</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73"/>
              </w:rPr>
              <w:t>USD thousands</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tax expense</w:t>
            </w: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Current year</w:t>
            </w:r>
          </w:p>
        </w:tc>
        <w:tc>
          <w:tcPr>
            <w:tcW w:w="880" w:type="dxa"/>
            <w:vAlign w:val="bottom"/>
          </w:tcPr>
          <w:p>
            <w:pPr>
              <w:jc w:val="right"/>
              <w:spacing w:after="0"/>
              <w:rPr>
                <w:sz w:val="20"/>
                <w:szCs w:val="20"/>
                <w:color w:val="auto"/>
              </w:rPr>
            </w:pPr>
            <w:r>
              <w:rPr>
                <w:rFonts w:ascii="Arial" w:cs="Arial" w:eastAsia="Arial" w:hAnsi="Arial"/>
                <w:sz w:val="18"/>
                <w:szCs w:val="18"/>
                <w:color w:val="auto"/>
              </w:rPr>
              <w:t>7,220</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3,022</w:t>
            </w:r>
          </w:p>
        </w:tc>
        <w:tc>
          <w:tcPr>
            <w:tcW w:w="1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4,571</w:t>
            </w:r>
          </w:p>
        </w:tc>
      </w:tr>
      <w:tr>
        <w:trPr>
          <w:trHeight w:val="216"/>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b w:val="1"/>
                <w:bCs w:val="1"/>
                <w:color w:val="auto"/>
              </w:rPr>
              <w:t>Deferred tax (income)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Creation and reversal of temporary differences</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(8,168)</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(12,603)</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(7,207)</w:t>
            </w:r>
          </w:p>
        </w:tc>
      </w:tr>
      <w:tr>
        <w:trPr>
          <w:trHeight w:val="216"/>
        </w:trPr>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4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benefit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(9,581)</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(2,636)</w:t>
            </w:r>
          </w:p>
        </w:tc>
      </w:tr>
      <w:tr>
        <w:trPr>
          <w:trHeight w:val="20"/>
        </w:trPr>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The following are the domestic and foreign components of the Company’s income taxes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Year ended</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1"/>
        </w:trPr>
        <w:tc>
          <w:tcPr>
            <w:tcW w:w="16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8"/>
                <w:szCs w:val="18"/>
                <w:b w:val="1"/>
                <w:bCs w:val="1"/>
                <w:color w:val="auto"/>
                <w:w w:val="89"/>
              </w:rPr>
              <w:t>December 31</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3"/>
        </w:trPr>
        <w:tc>
          <w:tcPr>
            <w:tcW w:w="16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3"/>
        </w:trPr>
        <w:tc>
          <w:tcPr>
            <w:tcW w:w="16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70"/>
              </w:rPr>
              <w:t>USD thousands</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16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860" w:type="dxa"/>
            <w:vAlign w:val="bottom"/>
            <w:gridSpan w:val="3"/>
          </w:tcPr>
          <w:p>
            <w:pPr>
              <w:spacing w:after="0"/>
              <w:rPr>
                <w:sz w:val="18"/>
                <w:szCs w:val="18"/>
                <w:color w:val="auto"/>
              </w:rPr>
            </w:pPr>
          </w:p>
        </w:tc>
        <w:tc>
          <w:tcPr>
            <w:tcW w:w="106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1,661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(639)</w:t>
            </w:r>
          </w:p>
        </w:tc>
        <w:tc>
          <w:tcPr>
            <w:tcW w:w="14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US</w:t>
            </w:r>
          </w:p>
        </w:tc>
        <w:tc>
          <w:tcPr>
            <w:tcW w:w="3860" w:type="dxa"/>
            <w:vAlign w:val="bottom"/>
            <w:gridSpan w:val="3"/>
          </w:tcPr>
          <w:p>
            <w:pPr>
              <w:jc w:val="right"/>
              <w:spacing w:after="0"/>
              <w:rPr>
                <w:sz w:val="20"/>
                <w:szCs w:val="20"/>
                <w:color w:val="auto"/>
              </w:rPr>
            </w:pPr>
            <w:r>
              <w:rPr>
                <w:rFonts w:ascii="Arial" w:cs="Arial" w:eastAsia="Arial" w:hAnsi="Arial"/>
                <w:sz w:val="18"/>
                <w:szCs w:val="18"/>
                <w:color w:val="auto"/>
              </w:rPr>
              <w:t>(961)</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(5,646)</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(416)</w:t>
            </w:r>
          </w:p>
        </w:tc>
        <w:tc>
          <w:tcPr>
            <w:tcW w:w="1440" w:type="dxa"/>
            <w:vAlign w:val="bottom"/>
          </w:tcPr>
          <w:p>
            <w:pPr>
              <w:spacing w:after="0"/>
              <w:rPr>
                <w:sz w:val="18"/>
                <w:szCs w:val="18"/>
                <w:color w:val="auto"/>
              </w:rPr>
            </w:pPr>
          </w:p>
        </w:tc>
      </w:tr>
      <w:tr>
        <w:trPr>
          <w:trHeight w:val="223"/>
        </w:trPr>
        <w:tc>
          <w:tcPr>
            <w:tcW w:w="1620" w:type="dxa"/>
            <w:vAlign w:val="bottom"/>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9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(5,596)</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(1,581)</w:t>
            </w:r>
          </w:p>
        </w:tc>
        <w:tc>
          <w:tcPr>
            <w:tcW w:w="1440" w:type="dxa"/>
            <w:vAlign w:val="bottom"/>
          </w:tcPr>
          <w:p>
            <w:pPr>
              <w:spacing w:after="0"/>
              <w:rPr>
                <w:sz w:val="19"/>
                <w:szCs w:val="19"/>
                <w:color w:val="auto"/>
              </w:rPr>
            </w:pPr>
          </w:p>
        </w:tc>
      </w:tr>
      <w:tr>
        <w:trPr>
          <w:trHeight w:val="216"/>
        </w:trPr>
        <w:tc>
          <w:tcPr>
            <w:tcW w:w="1620" w:type="dxa"/>
            <w:vAlign w:val="bottom"/>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40" w:type="dxa"/>
            <w:vAlign w:val="bottom"/>
          </w:tcPr>
          <w:p>
            <w:pPr>
              <w:spacing w:after="0"/>
              <w:rPr>
                <w:sz w:val="18"/>
                <w:szCs w:val="18"/>
                <w:color w:val="auto"/>
              </w:rPr>
            </w:pPr>
          </w:p>
        </w:tc>
      </w:tr>
      <w:tr>
        <w:trPr>
          <w:trHeight w:val="256"/>
        </w:trPr>
        <w:tc>
          <w:tcPr>
            <w:tcW w:w="1620" w:type="dxa"/>
            <w:vAlign w:val="bottom"/>
          </w:tcPr>
          <w:p>
            <w:pPr>
              <w:spacing w:after="0"/>
              <w:rPr>
                <w:sz w:val="22"/>
                <w:szCs w:val="22"/>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Tax Benefit</w:t>
            </w:r>
          </w:p>
        </w:tc>
        <w:tc>
          <w:tcPr>
            <w:tcW w:w="29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(9,581)</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(2,636)</w:t>
            </w:r>
          </w:p>
        </w:tc>
        <w:tc>
          <w:tcPr>
            <w:tcW w:w="1440" w:type="dxa"/>
            <w:vAlign w:val="bottom"/>
          </w:tcPr>
          <w:p>
            <w:pPr>
              <w:spacing w:after="0"/>
              <w:rPr>
                <w:sz w:val="22"/>
                <w:szCs w:val="22"/>
                <w:color w:val="auto"/>
              </w:rPr>
            </w:pPr>
          </w:p>
        </w:tc>
      </w:tr>
      <w:tr>
        <w:trPr>
          <w:trHeight w:val="426"/>
        </w:trPr>
        <w:tc>
          <w:tcPr>
            <w:tcW w:w="1620" w:type="dxa"/>
            <w:vAlign w:val="bottom"/>
          </w:tcPr>
          <w:p>
            <w:pPr>
              <w:spacing w:after="0"/>
              <w:rPr>
                <w:sz w:val="24"/>
                <w:szCs w:val="24"/>
                <w:color w:val="auto"/>
              </w:rPr>
            </w:pPr>
          </w:p>
        </w:tc>
        <w:tc>
          <w:tcPr>
            <w:tcW w:w="2360" w:type="dxa"/>
            <w:vAlign w:val="bottom"/>
            <w:tcBorders>
              <w:top w:val="single" w:sz="8" w:color="CCEEFF"/>
            </w:tcBorders>
          </w:tcPr>
          <w:p>
            <w:pPr>
              <w:spacing w:after="0"/>
              <w:rPr>
                <w:sz w:val="24"/>
                <w:szCs w:val="24"/>
                <w:color w:val="auto"/>
              </w:rPr>
            </w:pPr>
          </w:p>
        </w:tc>
        <w:tc>
          <w:tcPr>
            <w:tcW w:w="2980" w:type="dxa"/>
            <w:vAlign w:val="bottom"/>
            <w:tcBorders>
              <w:top w:val="single" w:sz="8" w:color="CCEEFF"/>
            </w:tcBorders>
          </w:tcPr>
          <w:p>
            <w:pPr>
              <w:ind w:left="1420"/>
              <w:spacing w:after="0"/>
              <w:rPr>
                <w:sz w:val="20"/>
                <w:szCs w:val="20"/>
                <w:color w:val="auto"/>
              </w:rPr>
            </w:pPr>
            <w:r>
              <w:rPr>
                <w:rFonts w:ascii="Arial" w:cs="Arial" w:eastAsia="Arial" w:hAnsi="Arial"/>
                <w:sz w:val="18"/>
                <w:szCs w:val="18"/>
                <w:color w:val="auto"/>
              </w:rPr>
              <w:t>F - 32</w:t>
            </w:r>
          </w:p>
        </w:tc>
        <w:tc>
          <w:tcPr>
            <w:tcW w:w="8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61"/>
        </w:trPr>
        <w:tc>
          <w:tcPr>
            <w:tcW w:w="1620" w:type="dxa"/>
            <w:vAlign w:val="bottom"/>
            <w:tcBorders>
              <w:bottom w:val="single" w:sz="8" w:color="auto"/>
            </w:tcBorders>
          </w:tcPr>
          <w:p>
            <w:pPr>
              <w:spacing w:after="0"/>
              <w:rPr>
                <w:sz w:val="5"/>
                <w:szCs w:val="5"/>
                <w:color w:val="auto"/>
              </w:rPr>
            </w:pPr>
          </w:p>
        </w:tc>
        <w:tc>
          <w:tcPr>
            <w:tcW w:w="236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297" w:right="339" w:bottom="1440" w:gutter="0" w:footer="0" w:header="0"/>
        </w:sectPr>
      </w:pPr>
    </w:p>
    <w:bookmarkStart w:id="149" w:name="page150"/>
    <w:bookmarkEnd w:id="149"/>
    <w:p>
      <w:pPr>
        <w:jc w:val="center"/>
        <w:ind w:right="-1100"/>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INCOME TAX (Cont.)</w:t>
      </w:r>
    </w:p>
    <w:p>
      <w:pPr>
        <w:spacing w:after="0" w:line="225" w:lineRule="exact"/>
        <w:rPr>
          <w:sz w:val="20"/>
          <w:szCs w:val="20"/>
          <w:color w:val="auto"/>
        </w:rPr>
      </w:pPr>
    </w:p>
    <w:p>
      <w:pPr>
        <w:ind w:left="1520" w:hanging="500"/>
        <w:spacing w:after="0"/>
        <w:tabs>
          <w:tab w:leader="none" w:pos="152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between the theoretical tax on the pre-tax profit and the tax expense:</w:t>
      </w:r>
    </w:p>
    <w:p>
      <w:pPr>
        <w:spacing w:after="0" w:line="225"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8"/>
              </w:rPr>
              <w:t>Year ended</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50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020" w:type="dxa"/>
            <w:vAlign w:val="bottom"/>
          </w:tcPr>
          <w:p>
            <w:pPr>
              <w:spacing w:after="0"/>
              <w:rPr>
                <w:sz w:val="19"/>
                <w:szCs w:val="19"/>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r>
      <w:tr>
        <w:trPr>
          <w:trHeight w:val="223"/>
        </w:trPr>
        <w:tc>
          <w:tcPr>
            <w:tcW w:w="50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79"/>
              </w:rPr>
              <w:t>USD thousands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50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23"/>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Profit (Loss) before taxes on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72,275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(7,442)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3,588</w:t>
            </w:r>
          </w:p>
        </w:tc>
      </w:tr>
      <w:tr>
        <w:trPr>
          <w:trHeight w:val="216"/>
        </w:trPr>
        <w:tc>
          <w:tcPr>
            <w:tcW w:w="502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Primary tax rate of the Company</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r>
      <w:tr>
        <w:trPr>
          <w:trHeight w:val="216"/>
        </w:trPr>
        <w:tc>
          <w:tcPr>
            <w:tcW w:w="50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Tax calculated according to the Company’s primary tax rate</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16,623</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(1,712)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w:t>
            </w:r>
          </w:p>
        </w:tc>
      </w:tr>
      <w:tr>
        <w:trPr>
          <w:trHeight w:val="216"/>
        </w:trPr>
        <w:tc>
          <w:tcPr>
            <w:tcW w:w="5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Additional tax (tax saving) in respect of:</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Non-deductible expenses net of tax exempt income (*)</w:t>
            </w:r>
          </w:p>
        </w:tc>
        <w:tc>
          <w:tcPr>
            <w:tcW w:w="1020" w:type="dxa"/>
            <w:vAlign w:val="bottom"/>
            <w:gridSpan w:val="3"/>
          </w:tcPr>
          <w:p>
            <w:pPr>
              <w:jc w:val="right"/>
              <w:ind w:right="70"/>
              <w:spacing w:after="0"/>
              <w:rPr>
                <w:sz w:val="20"/>
                <w:szCs w:val="20"/>
                <w:color w:val="auto"/>
              </w:rPr>
            </w:pPr>
            <w:r>
              <w:rPr>
                <w:rFonts w:ascii="Arial" w:cs="Arial" w:eastAsia="Arial" w:hAnsi="Arial"/>
                <w:sz w:val="18"/>
                <w:szCs w:val="18"/>
                <w:color w:val="auto"/>
              </w:rPr>
              <w:t>(6,218)</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(2,509)</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3,584</w:t>
            </w:r>
          </w:p>
        </w:tc>
      </w:tr>
      <w:tr>
        <w:trPr>
          <w:trHeight w:val="202"/>
        </w:trPr>
        <w:tc>
          <w:tcPr>
            <w:tcW w:w="5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Effect of reduced tax rate on preferred income and differences in</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previous tax assessments</w:t>
            </w:r>
          </w:p>
        </w:tc>
        <w:tc>
          <w:tcPr>
            <w:tcW w:w="10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(7,226)</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(1,433)</w:t>
            </w:r>
          </w:p>
        </w:tc>
      </w:tr>
      <w:tr>
        <w:trPr>
          <w:trHeight w:val="202"/>
        </w:trPr>
        <w:tc>
          <w:tcPr>
            <w:tcW w:w="5020" w:type="dxa"/>
            <w:vAlign w:val="bottom"/>
          </w:tcPr>
          <w:p>
            <w:pPr>
              <w:spacing w:after="0" w:line="201" w:lineRule="exact"/>
              <w:rPr>
                <w:sz w:val="20"/>
                <w:szCs w:val="20"/>
                <w:color w:val="auto"/>
              </w:rPr>
            </w:pPr>
            <w:r>
              <w:rPr>
                <w:rFonts w:ascii="Arial" w:cs="Arial" w:eastAsia="Arial" w:hAnsi="Arial"/>
                <w:sz w:val="18"/>
                <w:szCs w:val="18"/>
                <w:color w:val="auto"/>
                <w:w w:val="97"/>
              </w:rPr>
              <w:t>Utilization of tax losses from prior years for which deferred taxes</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were not created</w:t>
            </w:r>
          </w:p>
        </w:tc>
        <w:tc>
          <w:tcPr>
            <w:tcW w:w="1020" w:type="dxa"/>
            <w:vAlign w:val="bottom"/>
            <w:gridSpan w:val="3"/>
          </w:tcPr>
          <w:p>
            <w:pPr>
              <w:jc w:val="right"/>
              <w:ind w:right="70"/>
              <w:spacing w:after="0"/>
              <w:rPr>
                <w:sz w:val="20"/>
                <w:szCs w:val="20"/>
                <w:color w:val="auto"/>
              </w:rPr>
            </w:pPr>
            <w:r>
              <w:rPr>
                <w:rFonts w:ascii="Arial" w:cs="Arial" w:eastAsia="Arial" w:hAnsi="Arial"/>
                <w:sz w:val="18"/>
                <w:szCs w:val="18"/>
                <w:color w:val="auto"/>
              </w:rPr>
              <w:t>(2,030)</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(5,887)</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(5,050)</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93"/>
              </w:rPr>
              <w:t>Effect on deferred taxes at a rate different from the primary tax rate</w:t>
            </w:r>
          </w:p>
        </w:tc>
        <w:tc>
          <w:tcPr>
            <w:tcW w:w="10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(3,329)</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(768)</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(873)</w:t>
            </w: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1,232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9"/>
                <w:szCs w:val="19"/>
                <w:color w:val="auto"/>
              </w:rPr>
            </w:pPr>
          </w:p>
        </w:tc>
      </w:tr>
      <w:tr>
        <w:trPr>
          <w:trHeight w:val="216"/>
        </w:trPr>
        <w:tc>
          <w:tcPr>
            <w:tcW w:w="50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spacing w:after="0"/>
              <w:rPr>
                <w:sz w:val="18"/>
                <w:szCs w:val="18"/>
                <w:color w:val="auto"/>
              </w:rPr>
            </w:pPr>
          </w:p>
        </w:tc>
        <w:tc>
          <w:tcPr>
            <w:tcW w:w="1120" w:type="dxa"/>
            <w:vAlign w:val="bottom"/>
            <w:gridSpan w:val="3"/>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Tax benefit</w:t>
            </w:r>
          </w:p>
        </w:tc>
        <w:tc>
          <w:tcPr>
            <w:tcW w:w="1020" w:type="dxa"/>
            <w:vAlign w:val="bottom"/>
            <w:gridSpan w:val="3"/>
          </w:tcPr>
          <w:p>
            <w:pPr>
              <w:jc w:val="right"/>
              <w:ind w:right="70"/>
              <w:spacing w:after="0"/>
              <w:rPr>
                <w:sz w:val="20"/>
                <w:szCs w:val="20"/>
                <w:color w:val="auto"/>
              </w:rPr>
            </w:pPr>
            <w:r>
              <w:rPr>
                <w:rFonts w:ascii="Arial" w:cs="Arial" w:eastAsia="Arial" w:hAnsi="Arial"/>
                <w:sz w:val="18"/>
                <w:szCs w:val="18"/>
                <w:color w:val="auto"/>
              </w:rPr>
              <w:t>(948)</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(9,581)</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(2,636)</w:t>
            </w:r>
          </w:p>
        </w:tc>
      </w:tr>
      <w:tr>
        <w:trPr>
          <w:trHeight w:val="20"/>
        </w:trPr>
        <w:tc>
          <w:tcPr>
            <w:tcW w:w="50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0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spacing w:after="0"/>
              <w:rPr>
                <w:sz w:val="18"/>
                <w:szCs w:val="18"/>
                <w:color w:val="auto"/>
              </w:rPr>
            </w:pPr>
          </w:p>
        </w:tc>
        <w:tc>
          <w:tcPr>
            <w:tcW w:w="1120" w:type="dxa"/>
            <w:vAlign w:val="bottom"/>
            <w:gridSpan w:val="3"/>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129%</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21"/>
        </w:trPr>
        <w:tc>
          <w:tcPr>
            <w:tcW w:w="50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0" w:right="3579" w:hanging="3867"/>
        <w:spacing w:after="0" w:line="623" w:lineRule="auto"/>
        <w:tabs>
          <w:tab w:leader="none" w:pos="2024"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including non- deductible share-based compensation expenses. F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97" w:right="1440"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INCOME TAX (Cont.)</w:t>
      </w:r>
    </w:p>
    <w:p>
      <w:pPr>
        <w:spacing w:after="0" w:line="225" w:lineRule="exact"/>
        <w:rPr>
          <w:sz w:val="20"/>
          <w:szCs w:val="20"/>
          <w:color w:val="auto"/>
        </w:rPr>
      </w:pPr>
    </w:p>
    <w:p>
      <w:pPr>
        <w:ind w:left="1520" w:hanging="500"/>
        <w:spacing w:after="0"/>
        <w:tabs>
          <w:tab w:leader="none" w:pos="152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Deferred tax assets and liabilities:</w:t>
      </w:r>
    </w:p>
    <w:p>
      <w:pPr>
        <w:spacing w:after="0" w:line="229" w:lineRule="exact"/>
        <w:rPr>
          <w:rFonts w:ascii="Arial" w:cs="Arial" w:eastAsia="Arial" w:hAnsi="Arial"/>
          <w:sz w:val="18"/>
          <w:szCs w:val="18"/>
          <w:b w:val="1"/>
          <w:bCs w:val="1"/>
          <w:color w:val="auto"/>
        </w:rPr>
      </w:pPr>
    </w:p>
    <w:p>
      <w:pPr>
        <w:ind w:left="1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tax effects of temporary differences that give rise to significant portions of the deferred tax assets and liabilities are presented below:</w:t>
      </w:r>
    </w:p>
    <w:p>
      <w:pPr>
        <w:spacing w:after="0" w:line="166" w:lineRule="exact"/>
        <w:rPr>
          <w:sz w:val="20"/>
          <w:szCs w:val="20"/>
          <w:color w:val="auto"/>
        </w:rPr>
      </w:pPr>
    </w:p>
    <w:tbl>
      <w:tblPr>
        <w:tblLayout w:type="fixed"/>
        <w:tblInd w:w="16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Intangible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1"/>
              </w:rPr>
              <w:t>Assets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and R&amp;D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0"/>
              </w:rPr>
              <w:t>Employees</w:t>
            </w:r>
          </w:p>
        </w:tc>
        <w:tc>
          <w:tcPr>
            <w:tcW w:w="128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Carryforward</w:t>
            </w:r>
          </w:p>
        </w:tc>
        <w:tc>
          <w:tcPr>
            <w:tcW w:w="9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1"/>
              </w:rPr>
              <w:t>Accrued</w:t>
            </w:r>
          </w:p>
        </w:tc>
        <w:tc>
          <w:tcPr>
            <w:tcW w:w="92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94"/>
              </w:rPr>
              <w:t>Doubtful</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2"/>
              </w:rPr>
              <w:t>expenses</w:t>
            </w:r>
          </w:p>
        </w:tc>
        <w:tc>
          <w:tcPr>
            <w:tcW w:w="1220" w:type="dxa"/>
            <w:vAlign w:val="bottom"/>
            <w:gridSpan w:val="6"/>
          </w:tcPr>
          <w:p>
            <w:pPr>
              <w:jc w:val="right"/>
              <w:ind w:right="80"/>
              <w:spacing w:after="0"/>
              <w:rPr>
                <w:sz w:val="20"/>
                <w:szCs w:val="20"/>
                <w:color w:val="auto"/>
              </w:rPr>
            </w:pPr>
            <w:r>
              <w:rPr>
                <w:rFonts w:ascii="Arial" w:cs="Arial" w:eastAsia="Arial" w:hAnsi="Arial"/>
                <w:sz w:val="18"/>
                <w:szCs w:val="18"/>
                <w:b w:val="1"/>
                <w:bCs w:val="1"/>
                <w:color w:val="auto"/>
                <w:w w:val="89"/>
              </w:rPr>
              <w:t>Compensation</w:t>
            </w:r>
          </w:p>
        </w:tc>
        <w:tc>
          <w:tcPr>
            <w:tcW w:w="60" w:type="dxa"/>
            <w:vAlign w:val="bottom"/>
          </w:tcPr>
          <w:p>
            <w:pPr>
              <w:spacing w:after="0"/>
              <w:rPr>
                <w:sz w:val="20"/>
                <w:szCs w:val="20"/>
                <w:color w:val="auto"/>
              </w:rPr>
            </w:pPr>
          </w:p>
        </w:tc>
        <w:tc>
          <w:tcPr>
            <w:tcW w:w="122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Losses</w:t>
            </w:r>
          </w:p>
        </w:tc>
        <w:tc>
          <w:tcPr>
            <w:tcW w:w="9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3"/>
              </w:rPr>
              <w:t>Expenses</w:t>
            </w:r>
          </w:p>
        </w:tc>
        <w:tc>
          <w:tcPr>
            <w:tcW w:w="92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Debt</w:t>
            </w:r>
          </w:p>
        </w:tc>
        <w:tc>
          <w:tcPr>
            <w:tcW w:w="880" w:type="dxa"/>
            <w:vAlign w:val="bottom"/>
            <w:gridSpan w:val="4"/>
          </w:tcPr>
          <w:p>
            <w:pPr>
              <w:ind w:left="140"/>
              <w:spacing w:after="0"/>
              <w:rPr>
                <w:sz w:val="20"/>
                <w:szCs w:val="20"/>
                <w:color w:val="auto"/>
              </w:rPr>
            </w:pPr>
            <w:r>
              <w:rPr>
                <w:rFonts w:ascii="Arial" w:cs="Arial" w:eastAsia="Arial" w:hAnsi="Arial"/>
                <w:sz w:val="18"/>
                <w:szCs w:val="18"/>
                <w:b w:val="1"/>
                <w:bCs w:val="1"/>
                <w:color w:val="auto"/>
              </w:rPr>
              <w:t>Other</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USD</w:t>
            </w:r>
          </w:p>
        </w:tc>
        <w:tc>
          <w:tcPr>
            <w:tcW w:w="14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w w:val="74"/>
              </w:rPr>
              <w:t>thousands</w:t>
            </w:r>
          </w:p>
        </w:tc>
        <w:tc>
          <w:tcPr>
            <w:tcW w:w="16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of</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deferred tax</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asset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(liability) as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of January 1,</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2020</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(17,090)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3,684</w:t>
            </w:r>
          </w:p>
        </w:tc>
        <w:tc>
          <w:tcPr>
            <w:tcW w:w="12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8,435</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2,483</w:t>
            </w:r>
          </w:p>
        </w:tc>
        <w:tc>
          <w:tcPr>
            <w:tcW w:w="9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4,908</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(2,501)</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0" w:type="dxa"/>
            <w:vAlign w:val="bottom"/>
          </w:tcPr>
          <w:p>
            <w:pPr>
              <w:spacing w:after="0" w:line="201" w:lineRule="exact"/>
              <w:rPr>
                <w:sz w:val="20"/>
                <w:szCs w:val="20"/>
                <w:color w:val="auto"/>
              </w:rPr>
            </w:pPr>
            <w:r>
              <w:rPr>
                <w:rFonts w:ascii="Arial" w:cs="Arial" w:eastAsia="Arial" w:hAnsi="Arial"/>
                <w:sz w:val="18"/>
                <w:szCs w:val="18"/>
                <w:color w:val="auto"/>
              </w:rPr>
              <w:t>Business</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combinations</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(4,409)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85</w:t>
            </w:r>
          </w:p>
        </w:tc>
        <w:tc>
          <w:tcPr>
            <w:tcW w:w="1280" w:type="dxa"/>
            <w:vAlign w:val="bottom"/>
            <w:gridSpan w:val="5"/>
          </w:tcPr>
          <w:p>
            <w:pPr>
              <w:jc w:val="right"/>
              <w:ind w:right="120"/>
              <w:spacing w:after="0"/>
              <w:rPr>
                <w:sz w:val="20"/>
                <w:szCs w:val="20"/>
                <w:color w:val="auto"/>
              </w:rPr>
            </w:pPr>
            <w:r>
              <w:rPr>
                <w:rFonts w:ascii="Arial" w:cs="Arial" w:eastAsia="Arial" w:hAnsi="Arial"/>
                <w:sz w:val="18"/>
                <w:szCs w:val="18"/>
                <w:color w:val="auto"/>
              </w:rPr>
              <w:t>2,330</w:t>
            </w:r>
          </w:p>
        </w:tc>
        <w:tc>
          <w:tcPr>
            <w:tcW w:w="940" w:type="dxa"/>
            <w:vAlign w:val="bottom"/>
            <w:gridSpan w:val="4"/>
          </w:tcPr>
          <w:p>
            <w:pPr>
              <w:jc w:val="right"/>
              <w:ind w:right="160"/>
              <w:spacing w:after="0"/>
              <w:rPr>
                <w:sz w:val="20"/>
                <w:szCs w:val="20"/>
                <w:color w:val="auto"/>
              </w:rPr>
            </w:pPr>
            <w:r>
              <w:rPr>
                <w:rFonts w:ascii="Arial" w:cs="Arial" w:eastAsia="Arial" w:hAnsi="Arial"/>
                <w:sz w:val="18"/>
                <w:szCs w:val="18"/>
                <w:color w:val="auto"/>
              </w:rPr>
              <w:t>250</w:t>
            </w:r>
          </w:p>
        </w:tc>
        <w:tc>
          <w:tcPr>
            <w:tcW w:w="920" w:type="dxa"/>
            <w:vAlign w:val="bottom"/>
            <w:gridSpan w:val="4"/>
          </w:tcPr>
          <w:p>
            <w:pPr>
              <w:jc w:val="right"/>
              <w:ind w:right="160"/>
              <w:spacing w:after="0"/>
              <w:rPr>
                <w:sz w:val="20"/>
                <w:szCs w:val="20"/>
                <w:color w:val="auto"/>
              </w:rPr>
            </w:pPr>
            <w:r>
              <w:rPr>
                <w:rFonts w:ascii="Arial" w:cs="Arial" w:eastAsia="Arial" w:hAnsi="Arial"/>
                <w:sz w:val="18"/>
                <w:szCs w:val="18"/>
                <w:color w:val="auto"/>
              </w:rPr>
              <w:t>168</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530</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Changes</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recognized in</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profit or Loss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4,626</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1,190</w:t>
            </w:r>
          </w:p>
        </w:tc>
        <w:tc>
          <w:tcPr>
            <w:tcW w:w="12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3,380</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1,723</w:t>
            </w: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(1,352)</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3,036</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0" w:type="dxa"/>
            <w:vAlign w:val="bottom"/>
          </w:tcPr>
          <w:p>
            <w:pPr>
              <w:spacing w:after="0" w:line="201" w:lineRule="exact"/>
              <w:rPr>
                <w:sz w:val="20"/>
                <w:szCs w:val="20"/>
                <w:color w:val="auto"/>
              </w:rPr>
            </w:pPr>
            <w:r>
              <w:rPr>
                <w:rFonts w:ascii="Arial" w:cs="Arial" w:eastAsia="Arial" w:hAnsi="Arial"/>
                <w:sz w:val="18"/>
                <w:szCs w:val="18"/>
                <w:color w:val="auto"/>
              </w:rPr>
              <w:t>Changes</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recognized in</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equity</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4,280</w:t>
            </w:r>
          </w:p>
        </w:tc>
        <w:tc>
          <w:tcPr>
            <w:tcW w:w="1280" w:type="dxa"/>
            <w:vAlign w:val="bottom"/>
            <w:gridSpan w:val="5"/>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4,278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of</w:t>
            </w: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deferred tax</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asset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(liability) as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of December</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31, 2020</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(17,035)</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9,239</w:t>
            </w:r>
          </w:p>
        </w:tc>
        <w:tc>
          <w:tcPr>
            <w:tcW w:w="12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14,145</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4,456</w:t>
            </w:r>
          </w:p>
        </w:tc>
        <w:tc>
          <w:tcPr>
            <w:tcW w:w="9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3,724</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1,225</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15,754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Business</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combinations</w:t>
            </w:r>
          </w:p>
        </w:tc>
        <w:tc>
          <w:tcPr>
            <w:tcW w:w="1220" w:type="dxa"/>
            <w:vAlign w:val="bottom"/>
            <w:gridSpan w:val="6"/>
            <w:shd w:val="clear" w:color="auto" w:fill="CCEEFF"/>
          </w:tcPr>
          <w:p>
            <w:pPr>
              <w:jc w:val="right"/>
              <w:ind w:right="30"/>
              <w:spacing w:after="0"/>
              <w:rPr>
                <w:sz w:val="20"/>
                <w:szCs w:val="20"/>
                <w:color w:val="auto"/>
              </w:rPr>
            </w:pPr>
            <w:r>
              <w:rPr>
                <w:rFonts w:ascii="Arial" w:cs="Arial" w:eastAsia="Arial" w:hAnsi="Arial"/>
                <w:sz w:val="18"/>
                <w:szCs w:val="18"/>
                <w:color w:val="auto"/>
              </w:rPr>
              <w:t>(1,962)</w:t>
            </w: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0" w:type="dxa"/>
            <w:vAlign w:val="bottom"/>
          </w:tcPr>
          <w:p>
            <w:pPr>
              <w:spacing w:after="0" w:line="201" w:lineRule="exact"/>
              <w:rPr>
                <w:sz w:val="20"/>
                <w:szCs w:val="20"/>
                <w:color w:val="auto"/>
              </w:rPr>
            </w:pPr>
            <w:r>
              <w:rPr>
                <w:rFonts w:ascii="Arial" w:cs="Arial" w:eastAsia="Arial" w:hAnsi="Arial"/>
                <w:sz w:val="18"/>
                <w:szCs w:val="18"/>
                <w:color w:val="auto"/>
              </w:rPr>
              <w:t>Changes</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recognized in</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profit or Loss</w:t>
            </w:r>
          </w:p>
        </w:tc>
        <w:tc>
          <w:tcPr>
            <w:tcW w:w="1220" w:type="dxa"/>
            <w:vAlign w:val="bottom"/>
            <w:gridSpan w:val="6"/>
          </w:tcPr>
          <w:p>
            <w:pPr>
              <w:jc w:val="right"/>
              <w:ind w:right="90"/>
              <w:spacing w:after="0"/>
              <w:rPr>
                <w:sz w:val="20"/>
                <w:szCs w:val="20"/>
                <w:color w:val="auto"/>
              </w:rPr>
            </w:pPr>
            <w:r>
              <w:rPr>
                <w:rFonts w:ascii="Arial" w:cs="Arial" w:eastAsia="Arial" w:hAnsi="Arial"/>
                <w:sz w:val="18"/>
                <w:szCs w:val="18"/>
                <w:color w:val="auto"/>
              </w:rPr>
              <w:t>13,310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3,861</w:t>
            </w:r>
          </w:p>
        </w:tc>
        <w:tc>
          <w:tcPr>
            <w:tcW w:w="8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(4,714)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(3,117)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(549)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8,168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Changes</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recognized in</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equity</w:t>
            </w:r>
          </w:p>
        </w:tc>
        <w:tc>
          <w:tcPr>
            <w:tcW w:w="1220" w:type="dxa"/>
            <w:vAlign w:val="bottom"/>
            <w:gridSpan w:val="6"/>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(1,026)</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0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rPr>
              <w:t>Balance of</w:t>
            </w:r>
          </w:p>
        </w:tc>
        <w:tc>
          <w:tcPr>
            <w:tcW w:w="22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ind w:left="60"/>
              <w:spacing w:after="0"/>
              <w:rPr>
                <w:sz w:val="20"/>
                <w:szCs w:val="20"/>
                <w:color w:val="auto"/>
              </w:rPr>
            </w:pPr>
            <w:r>
              <w:rPr>
                <w:rFonts w:ascii="Arial" w:cs="Arial" w:eastAsia="Arial" w:hAnsi="Arial"/>
                <w:sz w:val="18"/>
                <w:szCs w:val="18"/>
                <w:b w:val="1"/>
                <w:bCs w:val="1"/>
                <w:color w:val="auto"/>
              </w:rPr>
              <w:t>deferred tax</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ind w:left="60"/>
              <w:spacing w:after="0"/>
              <w:rPr>
                <w:sz w:val="20"/>
                <w:szCs w:val="20"/>
                <w:color w:val="auto"/>
              </w:rPr>
            </w:pPr>
            <w:r>
              <w:rPr>
                <w:rFonts w:ascii="Arial" w:cs="Arial" w:eastAsia="Arial" w:hAnsi="Arial"/>
                <w:sz w:val="18"/>
                <w:szCs w:val="18"/>
                <w:b w:val="1"/>
                <w:bCs w:val="1"/>
                <w:color w:val="auto"/>
                <w:w w:val="89"/>
              </w:rPr>
              <w:t>asset (liability)</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4"/>
          </w:tcPr>
          <w:p>
            <w:pPr>
              <w:ind w:left="60"/>
              <w:spacing w:after="0"/>
              <w:rPr>
                <w:sz w:val="20"/>
                <w:szCs w:val="20"/>
                <w:color w:val="auto"/>
              </w:rPr>
            </w:pPr>
            <w:r>
              <w:rPr>
                <w:rFonts w:ascii="Arial" w:cs="Arial" w:eastAsia="Arial" w:hAnsi="Arial"/>
                <w:sz w:val="18"/>
                <w:szCs w:val="18"/>
                <w:b w:val="1"/>
                <w:bCs w:val="1"/>
                <w:color w:val="auto"/>
              </w:rPr>
              <w:t>as of December</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31, 2021</w:t>
            </w:r>
          </w:p>
        </w:tc>
        <w:tc>
          <w:tcPr>
            <w:tcW w:w="122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(5,587)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12,074</w:t>
            </w:r>
          </w:p>
        </w:tc>
        <w:tc>
          <w:tcPr>
            <w:tcW w:w="80" w:type="dxa"/>
            <w:vAlign w:val="bottom"/>
          </w:tcPr>
          <w:p>
            <w:pPr>
              <w:spacing w:after="0"/>
              <w:rPr>
                <w:sz w:val="20"/>
                <w:szCs w:val="20"/>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9,835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2,939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3,099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676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23,036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As of each reporting date, the Company’s management considers new evidence, both positive and negative, that could impact management’s view with regard to future realization of deferred tax assets.</w:t>
      </w:r>
    </w:p>
    <w:p>
      <w:pPr>
        <w:spacing w:after="0" w:line="170" w:lineRule="exact"/>
        <w:rPr>
          <w:sz w:val="20"/>
          <w:szCs w:val="20"/>
          <w:color w:val="auto"/>
        </w:rPr>
      </w:pPr>
    </w:p>
    <w:p>
      <w:pPr>
        <w:ind w:left="1540"/>
        <w:spacing w:after="0" w:line="308" w:lineRule="auto"/>
        <w:rPr>
          <w:sz w:val="20"/>
          <w:szCs w:val="20"/>
          <w:color w:val="auto"/>
        </w:rPr>
      </w:pPr>
      <w:r>
        <w:rPr>
          <w:rFonts w:ascii="Arial" w:cs="Arial" w:eastAsia="Arial" w:hAnsi="Arial"/>
          <w:sz w:val="17"/>
          <w:szCs w:val="17"/>
          <w:color w:val="auto"/>
        </w:rPr>
        <w:t>As of December 31, 2021, and 2020, the Company has gross unrecognized tax benefits of approximately USD 4,370 thousand and USD 4,471 thousand, respectively. The Company classifies liabilities for unrecognized tax benefits in Current tax liabilities.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NOTE 5:</w:t>
            </w:r>
          </w:p>
        </w:tc>
        <w:tc>
          <w:tcPr>
            <w:tcW w:w="3760" w:type="dxa"/>
            <w:vAlign w:val="bottom"/>
            <w:gridSpan w:val="2"/>
          </w:tcPr>
          <w:p>
            <w:pPr>
              <w:ind w:left="160"/>
              <w:spacing w:after="0"/>
              <w:rPr>
                <w:sz w:val="20"/>
                <w:szCs w:val="20"/>
                <w:color w:val="auto"/>
              </w:rPr>
            </w:pPr>
            <w:r>
              <w:rPr>
                <w:rFonts w:ascii="Arial" w:cs="Arial" w:eastAsia="Arial" w:hAnsi="Arial"/>
                <w:sz w:val="18"/>
                <w:szCs w:val="18"/>
                <w:b w:val="1"/>
                <w:bCs w:val="1"/>
                <w:color w:val="auto"/>
              </w:rPr>
              <w:t>FIXED ASSETS, NET</w:t>
            </w: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14"/>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Office</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90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0"/>
              </w:rPr>
              <w:t>Computers</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furniture</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and</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and</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Leasehold</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41"/>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Servers</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equipment</w:t>
            </w: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improvements</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1520" w:type="dxa"/>
            <w:vAlign w:val="bottom"/>
          </w:tcPr>
          <w:p>
            <w:pPr>
              <w:spacing w:after="0"/>
              <w:rPr>
                <w:sz w:val="20"/>
                <w:szCs w:val="20"/>
                <w:color w:val="auto"/>
              </w:rPr>
            </w:pPr>
          </w:p>
        </w:tc>
      </w:tr>
      <w:tr>
        <w:trPr>
          <w:trHeight w:val="223"/>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b w:val="1"/>
                <w:bCs w:val="1"/>
                <w:color w:val="auto"/>
                <w:w w:val="94"/>
              </w:rPr>
              <w:t>USD</w:t>
            </w:r>
          </w:p>
        </w:tc>
        <w:tc>
          <w:tcPr>
            <w:tcW w:w="160" w:type="dxa"/>
            <w:vAlign w:val="bottom"/>
            <w:tcBorders>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thousands</w:t>
            </w:r>
          </w:p>
        </w:tc>
        <w:tc>
          <w:tcPr>
            <w:tcW w:w="16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8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2020</w:t>
            </w:r>
          </w:p>
        </w:tc>
        <w:tc>
          <w:tcPr>
            <w:tcW w:w="1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1,735</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8,033</w:t>
            </w:r>
          </w:p>
        </w:tc>
        <w:tc>
          <w:tcPr>
            <w:tcW w:w="15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1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15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Additions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1,768</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1,860</w:t>
            </w:r>
          </w:p>
        </w:tc>
        <w:tc>
          <w:tcPr>
            <w:tcW w:w="15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Business combinations</w:t>
            </w:r>
          </w:p>
        </w:tc>
        <w:tc>
          <w:tcPr>
            <w:tcW w:w="1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346</w:t>
            </w: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830</w:t>
            </w:r>
          </w:p>
        </w:tc>
        <w:tc>
          <w:tcPr>
            <w:tcW w:w="1520" w:type="dxa"/>
            <w:vAlign w:val="bottom"/>
          </w:tcPr>
          <w:p>
            <w:pPr>
              <w:spacing w:after="0"/>
              <w:rPr>
                <w:sz w:val="18"/>
                <w:szCs w:val="18"/>
                <w:color w:val="auto"/>
              </w:rPr>
            </w:pPr>
          </w:p>
        </w:tc>
      </w:tr>
      <w:tr>
        <w:trPr>
          <w:trHeight w:val="223"/>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Disposals</w:t>
            </w:r>
          </w:p>
        </w:tc>
        <w:tc>
          <w:tcPr>
            <w:tcW w:w="8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1520" w:type="dxa"/>
            <w:vAlign w:val="bottom"/>
          </w:tcPr>
          <w:p>
            <w:pPr>
              <w:spacing w:after="0"/>
              <w:rPr>
                <w:sz w:val="19"/>
                <w:szCs w:val="19"/>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b w:val="1"/>
                <w:bCs w:val="1"/>
                <w:color w:val="auto"/>
              </w:rPr>
              <w:t>Balance as of December 31, 2020</w:t>
            </w: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7,683</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1,132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1,870</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10,685</w:t>
            </w:r>
          </w:p>
        </w:tc>
        <w:tc>
          <w:tcPr>
            <w:tcW w:w="15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Exchange rate differences</w:t>
            </w:r>
          </w:p>
        </w:tc>
        <w:tc>
          <w:tcPr>
            <w:tcW w:w="190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15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2,112</w:t>
            </w:r>
          </w:p>
        </w:tc>
        <w:tc>
          <w:tcPr>
            <w:tcW w:w="15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Business combinations (See Note 20)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520" w:type="dxa"/>
            <w:vAlign w:val="bottom"/>
          </w:tcPr>
          <w:p>
            <w:pPr>
              <w:spacing w:after="0"/>
              <w:rPr>
                <w:sz w:val="18"/>
                <w:szCs w:val="18"/>
                <w:color w:val="auto"/>
              </w:rPr>
            </w:pPr>
          </w:p>
        </w:tc>
      </w:tr>
      <w:tr>
        <w:trPr>
          <w:trHeight w:val="223"/>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8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w:t>
            </w: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(2,755)</w:t>
            </w:r>
          </w:p>
        </w:tc>
        <w:tc>
          <w:tcPr>
            <w:tcW w:w="1520" w:type="dxa"/>
            <w:vAlign w:val="bottom"/>
          </w:tcPr>
          <w:p>
            <w:pPr>
              <w:spacing w:after="0"/>
              <w:rPr>
                <w:sz w:val="19"/>
                <w:szCs w:val="19"/>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20" w:type="dxa"/>
            <w:vAlign w:val="bottom"/>
          </w:tcPr>
          <w:p>
            <w:pPr>
              <w:spacing w:after="0"/>
              <w:rPr>
                <w:sz w:val="18"/>
                <w:szCs w:val="18"/>
                <w:color w:val="auto"/>
              </w:rPr>
            </w:pPr>
          </w:p>
        </w:tc>
      </w:tr>
      <w:tr>
        <w:trPr>
          <w:trHeight w:val="257"/>
        </w:trPr>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2021</w:t>
            </w:r>
          </w:p>
        </w:tc>
        <w:tc>
          <w:tcPr>
            <w:tcW w:w="1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8,839</w:t>
            </w:r>
          </w:p>
        </w:tc>
        <w:tc>
          <w:tcPr>
            <w:tcW w:w="140" w:type="dxa"/>
            <w:vAlign w:val="bottom"/>
            <w:shd w:val="clear" w:color="auto" w:fill="CCEEFF"/>
          </w:tcPr>
          <w:p>
            <w:pPr>
              <w:spacing w:after="0"/>
              <w:rPr>
                <w:sz w:val="22"/>
                <w:szCs w:val="22"/>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445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770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10,054</w:t>
            </w:r>
          </w:p>
        </w:tc>
        <w:tc>
          <w:tcPr>
            <w:tcW w:w="1520" w:type="dxa"/>
            <w:vAlign w:val="bottom"/>
          </w:tcPr>
          <w:p>
            <w:pPr>
              <w:spacing w:after="0"/>
              <w:rPr>
                <w:sz w:val="22"/>
                <w:szCs w:val="22"/>
                <w:color w:val="auto"/>
              </w:rPr>
            </w:pPr>
          </w:p>
        </w:tc>
      </w:tr>
      <w:tr>
        <w:trPr>
          <w:trHeight w:val="209"/>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8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2020</w:t>
            </w:r>
          </w:p>
        </w:tc>
        <w:tc>
          <w:tcPr>
            <w:tcW w:w="1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3,439</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1,082</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4,901</w:t>
            </w:r>
          </w:p>
        </w:tc>
        <w:tc>
          <w:tcPr>
            <w:tcW w:w="15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1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15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Disposals</w:t>
            </w:r>
          </w:p>
        </w:tc>
        <w:tc>
          <w:tcPr>
            <w:tcW w:w="1900" w:type="dxa"/>
            <w:vAlign w:val="bottom"/>
            <w:gridSpan w:val="3"/>
          </w:tcPr>
          <w:p>
            <w:pPr>
              <w:jc w:val="right"/>
              <w:ind w:right="100"/>
              <w:spacing w:after="0"/>
              <w:rPr>
                <w:sz w:val="20"/>
                <w:szCs w:val="20"/>
                <w:color w:val="auto"/>
              </w:rPr>
            </w:pPr>
            <w:r>
              <w:rPr>
                <w:rFonts w:ascii="Arial" w:cs="Arial" w:eastAsia="Arial" w:hAnsi="Arial"/>
                <w:sz w:val="18"/>
                <w:szCs w:val="18"/>
                <w:color w:val="auto"/>
              </w:rPr>
              <w:t>(16)</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1520" w:type="dxa"/>
            <w:vAlign w:val="bottom"/>
          </w:tcPr>
          <w:p>
            <w:pPr>
              <w:spacing w:after="0"/>
              <w:rPr>
                <w:sz w:val="18"/>
                <w:szCs w:val="18"/>
                <w:color w:val="auto"/>
              </w:rPr>
            </w:pPr>
          </w:p>
        </w:tc>
      </w:tr>
      <w:tr>
        <w:trPr>
          <w:trHeight w:val="223"/>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88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4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2,503</w:t>
            </w:r>
          </w:p>
        </w:tc>
        <w:tc>
          <w:tcPr>
            <w:tcW w:w="1520" w:type="dxa"/>
            <w:vAlign w:val="bottom"/>
          </w:tcPr>
          <w:p>
            <w:pPr>
              <w:spacing w:after="0"/>
              <w:rPr>
                <w:sz w:val="19"/>
                <w:szCs w:val="19"/>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1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4,981</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823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1,589</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7,393</w:t>
            </w:r>
          </w:p>
        </w:tc>
        <w:tc>
          <w:tcPr>
            <w:tcW w:w="15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Exchange rate differences</w:t>
            </w:r>
          </w:p>
        </w:tc>
        <w:tc>
          <w:tcPr>
            <w:tcW w:w="190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15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(852)</w:t>
            </w: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(2,755)</w:t>
            </w:r>
          </w:p>
        </w:tc>
        <w:tc>
          <w:tcPr>
            <w:tcW w:w="1520" w:type="dxa"/>
            <w:vAlign w:val="bottom"/>
          </w:tcPr>
          <w:p>
            <w:pPr>
              <w:spacing w:after="0"/>
              <w:rPr>
                <w:sz w:val="18"/>
                <w:szCs w:val="18"/>
                <w:color w:val="auto"/>
              </w:rPr>
            </w:pPr>
          </w:p>
        </w:tc>
      </w:tr>
      <w:tr>
        <w:trPr>
          <w:trHeight w:val="223"/>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Additions</w:t>
            </w:r>
          </w:p>
        </w:tc>
        <w:tc>
          <w:tcPr>
            <w:tcW w:w="8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1,570</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164</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197</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1,931</w:t>
            </w:r>
          </w:p>
        </w:tc>
        <w:tc>
          <w:tcPr>
            <w:tcW w:w="1520" w:type="dxa"/>
            <w:vAlign w:val="bottom"/>
          </w:tcPr>
          <w:p>
            <w:pPr>
              <w:spacing w:after="0"/>
              <w:rPr>
                <w:sz w:val="19"/>
                <w:szCs w:val="19"/>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b w:val="1"/>
                <w:bCs w:val="1"/>
                <w:color w:val="auto"/>
              </w:rPr>
              <w:t>Balance as of December 31, 2021</w:t>
            </w: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5,698</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623</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6,590</w:t>
            </w:r>
          </w:p>
        </w:tc>
        <w:tc>
          <w:tcPr>
            <w:tcW w:w="152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b w:val="1"/>
                <w:bCs w:val="1"/>
                <w:color w:val="auto"/>
              </w:rPr>
              <w:t>Carrying amounts</w:t>
            </w: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6"/>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2020</w:t>
            </w:r>
          </w:p>
        </w:tc>
        <w:tc>
          <w:tcPr>
            <w:tcW w:w="88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2,702</w:t>
            </w:r>
          </w:p>
        </w:tc>
        <w:tc>
          <w:tcPr>
            <w:tcW w:w="14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309</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281</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3,292</w:t>
            </w:r>
          </w:p>
        </w:tc>
        <w:tc>
          <w:tcPr>
            <w:tcW w:w="1520" w:type="dxa"/>
            <w:vAlign w:val="bottom"/>
          </w:tcPr>
          <w:p>
            <w:pPr>
              <w:spacing w:after="0"/>
              <w:rPr>
                <w:sz w:val="20"/>
                <w:szCs w:val="20"/>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As of December 31, 2021</w:t>
            </w:r>
          </w:p>
        </w:tc>
        <w:tc>
          <w:tcPr>
            <w:tcW w:w="8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3,141</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176</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147</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3,464</w:t>
            </w:r>
          </w:p>
        </w:tc>
        <w:tc>
          <w:tcPr>
            <w:tcW w:w="152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26"/>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900" w:type="dxa"/>
            <w:vAlign w:val="bottom"/>
            <w:gridSpan w:val="3"/>
          </w:tcPr>
          <w:p>
            <w:pPr>
              <w:jc w:val="right"/>
              <w:ind w:right="680"/>
              <w:spacing w:after="0"/>
              <w:rPr>
                <w:sz w:val="20"/>
                <w:szCs w:val="20"/>
                <w:color w:val="auto"/>
              </w:rPr>
            </w:pPr>
            <w:r>
              <w:rPr>
                <w:rFonts w:ascii="Arial" w:cs="Arial" w:eastAsia="Arial" w:hAnsi="Arial"/>
                <w:sz w:val="18"/>
                <w:szCs w:val="18"/>
                <w:color w:val="auto"/>
              </w:rPr>
              <w:t>F - 35</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61"/>
        </w:trPr>
        <w:tc>
          <w:tcPr>
            <w:tcW w:w="8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4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297"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LEASES</w:t>
      </w:r>
    </w:p>
    <w:p>
      <w:pPr>
        <w:spacing w:after="0" w:line="225" w:lineRule="exact"/>
        <w:rPr>
          <w:sz w:val="20"/>
          <w:szCs w:val="20"/>
          <w:color w:val="auto"/>
        </w:rPr>
      </w:pPr>
    </w:p>
    <w:p>
      <w:pPr>
        <w:ind w:left="1520" w:hanging="500"/>
        <w:spacing w:after="0"/>
        <w:tabs>
          <w:tab w:leader="none" w:pos="152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Leases in which the Group is the lessee:</w:t>
      </w:r>
    </w:p>
    <w:p>
      <w:pPr>
        <w:spacing w:after="0" w:line="229" w:lineRule="exact"/>
        <w:rPr>
          <w:rFonts w:ascii="Arial" w:cs="Arial" w:eastAsia="Arial" w:hAnsi="Arial"/>
          <w:sz w:val="18"/>
          <w:szCs w:val="18"/>
          <w:b w:val="1"/>
          <w:bCs w:val="1"/>
          <w:color w:val="auto"/>
        </w:rPr>
      </w:pPr>
    </w:p>
    <w:p>
      <w:pPr>
        <w:ind w:left="1540"/>
        <w:spacing w:after="0"/>
        <w:rPr>
          <w:rFonts w:ascii="Arial" w:cs="Arial" w:eastAsia="Arial" w:hAnsi="Arial"/>
          <w:sz w:val="18"/>
          <w:szCs w:val="18"/>
          <w:b w:val="1"/>
          <w:bCs w:val="1"/>
          <w:color w:val="auto"/>
        </w:rPr>
      </w:pPr>
      <w:r>
        <w:rPr>
          <w:rFonts w:ascii="Arial" w:cs="Arial" w:eastAsia="Arial" w:hAnsi="Arial"/>
          <w:sz w:val="18"/>
          <w:szCs w:val="18"/>
          <w:color w:val="auto"/>
        </w:rPr>
        <w:t>The Group applies IFRS 16, Leases. The Group has lease agreements with respect to the following items:</w:t>
      </w:r>
    </w:p>
    <w:p>
      <w:pPr>
        <w:spacing w:after="0" w:line="225" w:lineRule="exact"/>
        <w:rPr>
          <w:rFonts w:ascii="Arial" w:cs="Arial" w:eastAsia="Arial" w:hAnsi="Arial"/>
          <w:sz w:val="18"/>
          <w:szCs w:val="18"/>
          <w:b w:val="1"/>
          <w:bCs w:val="1"/>
          <w:color w:val="auto"/>
        </w:rPr>
      </w:pPr>
    </w:p>
    <w:p>
      <w:pPr>
        <w:ind w:left="2040" w:hanging="507"/>
        <w:spacing w:after="0"/>
        <w:tabs>
          <w:tab w:leader="none" w:pos="20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Offices; and</w:t>
      </w:r>
    </w:p>
    <w:p>
      <w:pPr>
        <w:spacing w:after="0" w:line="225" w:lineRule="exact"/>
        <w:rPr>
          <w:rFonts w:ascii="Arial" w:cs="Arial" w:eastAsia="Arial" w:hAnsi="Arial"/>
          <w:sz w:val="18"/>
          <w:szCs w:val="18"/>
          <w:color w:val="auto"/>
        </w:rPr>
      </w:pPr>
    </w:p>
    <w:p>
      <w:pPr>
        <w:ind w:left="2040" w:hanging="507"/>
        <w:spacing w:after="0"/>
        <w:tabs>
          <w:tab w:leader="none" w:pos="20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Data center.</w:t>
      </w:r>
    </w:p>
    <w:p>
      <w:pPr>
        <w:spacing w:after="0" w:line="225" w:lineRule="exact"/>
        <w:rPr>
          <w:sz w:val="20"/>
          <w:szCs w:val="20"/>
          <w:color w:val="auto"/>
        </w:rPr>
      </w:pPr>
    </w:p>
    <w:p>
      <w:pPr>
        <w:ind w:left="2040" w:hanging="507"/>
        <w:spacing w:after="0"/>
        <w:tabs>
          <w:tab w:leader="none" w:pos="20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Information regarding material lease agreements:</w:t>
      </w:r>
    </w:p>
    <w:p>
      <w:pPr>
        <w:spacing w:after="0" w:line="225" w:lineRule="exact"/>
        <w:rPr>
          <w:rFonts w:ascii="Arial" w:cs="Arial" w:eastAsia="Arial" w:hAnsi="Arial"/>
          <w:sz w:val="18"/>
          <w:szCs w:val="18"/>
          <w:color w:val="auto"/>
        </w:rPr>
      </w:pPr>
    </w:p>
    <w:p>
      <w:pPr>
        <w:jc w:val="both"/>
        <w:ind w:left="2540" w:hanging="494"/>
        <w:spacing w:after="0" w:line="311" w:lineRule="auto"/>
        <w:tabs>
          <w:tab w:leader="none" w:pos="2540"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Group leases Offices mainly in the United States of America (US), Israel, Canada and UK with contractual original lease periods ends between the years 2022 and 2027 from several lessors. The Group did not assume renewals in determination of the lease term unless the renewals are deemed to be reasonably assured at lease commencement.</w:t>
      </w:r>
    </w:p>
    <w:p>
      <w:pPr>
        <w:spacing w:after="0" w:line="148" w:lineRule="exact"/>
        <w:rPr>
          <w:rFonts w:ascii="Arial" w:cs="Arial" w:eastAsia="Arial" w:hAnsi="Arial"/>
          <w:sz w:val="16"/>
          <w:szCs w:val="16"/>
          <w:color w:val="auto"/>
        </w:rPr>
      </w:pPr>
    </w:p>
    <w:p>
      <w:pPr>
        <w:jc w:val="both"/>
        <w:ind w:left="2560"/>
        <w:spacing w:after="0" w:line="259" w:lineRule="auto"/>
        <w:rPr>
          <w:rFonts w:ascii="Arial" w:cs="Arial" w:eastAsia="Arial" w:hAnsi="Arial"/>
          <w:sz w:val="16"/>
          <w:szCs w:val="16"/>
          <w:color w:val="auto"/>
        </w:rPr>
      </w:pPr>
      <w:r>
        <w:rPr>
          <w:rFonts w:ascii="Arial" w:cs="Arial" w:eastAsia="Arial" w:hAnsi="Arial"/>
          <w:sz w:val="18"/>
          <w:szCs w:val="18"/>
          <w:color w:val="auto"/>
        </w:rPr>
        <w:t>A lease liability in the amount of USD 12,023 thousand and USD 16,121 thousand as of December 31, 2021, and December 31, 2020, respectively, and right-of-use asset in the amount of USD 5,424 thousand and USD 5,925 thousand as of December 31, 2021 and December 31, 2020, respectively have been recognized in the statement of financial position in respect of leases of offices.</w:t>
      </w:r>
    </w:p>
    <w:p>
      <w:pPr>
        <w:spacing w:after="0" w:line="186" w:lineRule="exact"/>
        <w:rPr>
          <w:rFonts w:ascii="Arial" w:cs="Arial" w:eastAsia="Arial" w:hAnsi="Arial"/>
          <w:sz w:val="16"/>
          <w:szCs w:val="16"/>
          <w:color w:val="auto"/>
        </w:rPr>
      </w:pPr>
    </w:p>
    <w:p>
      <w:pPr>
        <w:jc w:val="both"/>
        <w:ind w:left="2540" w:hanging="494"/>
        <w:spacing w:after="0" w:line="263" w:lineRule="auto"/>
        <w:tabs>
          <w:tab w:leader="none" w:pos="25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Group leases data center and related network infrastructure with contractual original lease periods ends between the years 2022 and 2023. The Group did not assume renewals in determination of the lease term unless the renewals are deemed to be reasonably assured at lease commencement.</w:t>
      </w:r>
    </w:p>
    <w:p>
      <w:pPr>
        <w:spacing w:after="0" w:line="183" w:lineRule="exact"/>
        <w:rPr>
          <w:rFonts w:ascii="Arial" w:cs="Arial" w:eastAsia="Arial" w:hAnsi="Arial"/>
          <w:sz w:val="18"/>
          <w:szCs w:val="18"/>
          <w:color w:val="auto"/>
        </w:rPr>
      </w:pPr>
    </w:p>
    <w:p>
      <w:pPr>
        <w:jc w:val="both"/>
        <w:ind w:left="2560"/>
        <w:spacing w:after="0" w:line="259" w:lineRule="auto"/>
        <w:rPr>
          <w:rFonts w:ascii="Arial" w:cs="Arial" w:eastAsia="Arial" w:hAnsi="Arial"/>
          <w:sz w:val="18"/>
          <w:szCs w:val="18"/>
          <w:color w:val="auto"/>
        </w:rPr>
      </w:pPr>
      <w:r>
        <w:rPr>
          <w:rFonts w:ascii="Arial" w:cs="Arial" w:eastAsia="Arial" w:hAnsi="Arial"/>
          <w:sz w:val="18"/>
          <w:szCs w:val="18"/>
          <w:color w:val="auto"/>
        </w:rPr>
        <w:t>A lease liability in the amount of USD 2,972 thousand and USD 5,088 thousand as of December 31, 2021, and December 31, 2020, respectively, and right-of-use asset in the amount of USD 2,849 thousand and USD 4,897 thousand as of December 31, 2021, and December 31, 2020, respectively have been recognized in the statement of financial position in respect of data centers.</w:t>
      </w:r>
    </w:p>
    <w:p>
      <w:pPr>
        <w:spacing w:after="0" w:line="186" w:lineRule="exact"/>
        <w:rPr>
          <w:rFonts w:ascii="Arial" w:cs="Arial" w:eastAsia="Arial" w:hAnsi="Arial"/>
          <w:sz w:val="18"/>
          <w:szCs w:val="18"/>
          <w:color w:val="auto"/>
        </w:rPr>
      </w:pPr>
    </w:p>
    <w:p>
      <w:pPr>
        <w:ind w:left="2040" w:hanging="507"/>
        <w:spacing w:after="0"/>
        <w:tabs>
          <w:tab w:leader="none" w:pos="20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Lease liability:</w:t>
      </w:r>
    </w:p>
    <w:p>
      <w:pPr>
        <w:spacing w:after="0" w:line="225"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8"/>
          <w:szCs w:val="18"/>
          <w:color w:val="auto"/>
        </w:rPr>
        <w:t>Maturity analysis of the Group's lease liabilities: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7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December 31</w:t>
            </w:r>
          </w:p>
        </w:tc>
        <w:tc>
          <w:tcPr>
            <w:tcW w:w="1380" w:type="dxa"/>
            <w:vAlign w:val="bottom"/>
          </w:tcPr>
          <w:p>
            <w:pPr>
              <w:spacing w:after="0"/>
              <w:rPr>
                <w:sz w:val="20"/>
                <w:szCs w:val="20"/>
                <w:color w:val="auto"/>
              </w:rPr>
            </w:pPr>
          </w:p>
        </w:tc>
      </w:tr>
      <w:tr>
        <w:trPr>
          <w:trHeight w:val="223"/>
        </w:trPr>
        <w:tc>
          <w:tcPr>
            <w:tcW w:w="21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380" w:type="dxa"/>
            <w:vAlign w:val="bottom"/>
          </w:tcPr>
          <w:p>
            <w:pPr>
              <w:spacing w:after="0"/>
              <w:rPr>
                <w:sz w:val="19"/>
                <w:szCs w:val="19"/>
                <w:color w:val="auto"/>
              </w:rPr>
            </w:pPr>
          </w:p>
        </w:tc>
      </w:tr>
      <w:tr>
        <w:trPr>
          <w:trHeight w:val="223"/>
        </w:trPr>
        <w:tc>
          <w:tcPr>
            <w:tcW w:w="21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USD</w:t>
            </w:r>
          </w:p>
        </w:tc>
        <w:tc>
          <w:tcPr>
            <w:tcW w:w="9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w w:val="70"/>
              </w:rPr>
              <w:t>thousands</w:t>
            </w:r>
          </w:p>
        </w:tc>
        <w:tc>
          <w:tcPr>
            <w:tcW w:w="1380" w:type="dxa"/>
            <w:vAlign w:val="bottom"/>
          </w:tcPr>
          <w:p>
            <w:pPr>
              <w:spacing w:after="0"/>
              <w:rPr>
                <w:sz w:val="19"/>
                <w:szCs w:val="19"/>
                <w:color w:val="auto"/>
              </w:rPr>
            </w:pPr>
          </w:p>
        </w:tc>
      </w:tr>
      <w:tr>
        <w:trPr>
          <w:trHeight w:val="216"/>
        </w:trPr>
        <w:tc>
          <w:tcPr>
            <w:tcW w:w="2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020" w:type="dxa"/>
            <w:vAlign w:val="bottom"/>
            <w:gridSpan w:val="3"/>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Less than one year (0-1)</w:t>
            </w:r>
          </w:p>
        </w:tc>
        <w:tc>
          <w:tcPr>
            <w:tcW w:w="40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7,119</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9,047</w:t>
            </w:r>
          </w:p>
        </w:tc>
        <w:tc>
          <w:tcPr>
            <w:tcW w:w="138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One to five years (1-5)</w:t>
            </w:r>
          </w:p>
        </w:tc>
        <w:tc>
          <w:tcPr>
            <w:tcW w:w="4020" w:type="dxa"/>
            <w:vAlign w:val="bottom"/>
            <w:gridSpan w:val="3"/>
          </w:tcPr>
          <w:p>
            <w:pPr>
              <w:jc w:val="right"/>
              <w:ind w:right="70"/>
              <w:spacing w:after="0"/>
              <w:rPr>
                <w:sz w:val="20"/>
                <w:szCs w:val="20"/>
                <w:color w:val="auto"/>
              </w:rPr>
            </w:pPr>
            <w:r>
              <w:rPr>
                <w:rFonts w:ascii="Arial" w:cs="Arial" w:eastAsia="Arial" w:hAnsi="Arial"/>
                <w:sz w:val="18"/>
                <w:szCs w:val="18"/>
                <w:color w:val="auto"/>
              </w:rPr>
              <w:t>7,042</w:t>
            </w:r>
          </w:p>
        </w:tc>
        <w:tc>
          <w:tcPr>
            <w:tcW w:w="820" w:type="dxa"/>
            <w:vAlign w:val="bottom"/>
          </w:tcPr>
          <w:p>
            <w:pPr>
              <w:jc w:val="right"/>
              <w:spacing w:after="0"/>
              <w:rPr>
                <w:sz w:val="20"/>
                <w:szCs w:val="20"/>
                <w:color w:val="auto"/>
              </w:rPr>
            </w:pPr>
            <w:r>
              <w:rPr>
                <w:rFonts w:ascii="Arial" w:cs="Arial" w:eastAsia="Arial" w:hAnsi="Arial"/>
                <w:sz w:val="18"/>
                <w:szCs w:val="18"/>
                <w:color w:val="auto"/>
              </w:rPr>
              <w:t>10,241</w:t>
            </w:r>
          </w:p>
        </w:tc>
        <w:tc>
          <w:tcPr>
            <w:tcW w:w="1380" w:type="dxa"/>
            <w:vAlign w:val="bottom"/>
          </w:tcPr>
          <w:p>
            <w:pPr>
              <w:spacing w:after="0"/>
              <w:rPr>
                <w:sz w:val="18"/>
                <w:szCs w:val="18"/>
                <w:color w:val="auto"/>
              </w:rPr>
            </w:pPr>
          </w:p>
        </w:tc>
      </w:tr>
      <w:tr>
        <w:trPr>
          <w:trHeight w:val="223"/>
        </w:trPr>
        <w:tc>
          <w:tcPr>
            <w:tcW w:w="2120" w:type="dxa"/>
            <w:vAlign w:val="bottom"/>
          </w:tcPr>
          <w:p>
            <w:pPr>
              <w:spacing w:after="0"/>
              <w:rPr>
                <w:sz w:val="19"/>
                <w:szCs w:val="19"/>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More than five years (5+)</w:t>
            </w:r>
          </w:p>
        </w:tc>
        <w:tc>
          <w:tcPr>
            <w:tcW w:w="30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380" w:type="dxa"/>
            <w:vAlign w:val="bottom"/>
          </w:tcPr>
          <w:p>
            <w:pPr>
              <w:spacing w:after="0"/>
              <w:rPr>
                <w:sz w:val="19"/>
                <w:szCs w:val="19"/>
                <w:color w:val="auto"/>
              </w:rPr>
            </w:pPr>
          </w:p>
        </w:tc>
      </w:tr>
      <w:tr>
        <w:trPr>
          <w:trHeight w:val="216"/>
        </w:trPr>
        <w:tc>
          <w:tcPr>
            <w:tcW w:w="2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020" w:type="dxa"/>
            <w:vAlign w:val="bottom"/>
            <w:gridSpan w:val="3"/>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7"/>
        </w:trPr>
        <w:tc>
          <w:tcPr>
            <w:tcW w:w="2120" w:type="dxa"/>
            <w:vAlign w:val="bottom"/>
          </w:tcPr>
          <w:p>
            <w:pPr>
              <w:spacing w:after="0"/>
              <w:rPr>
                <w:sz w:val="22"/>
                <w:szCs w:val="22"/>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14,995</w:t>
            </w: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21,209</w:t>
            </w:r>
          </w:p>
        </w:tc>
        <w:tc>
          <w:tcPr>
            <w:tcW w:w="1380" w:type="dxa"/>
            <w:vAlign w:val="bottom"/>
          </w:tcPr>
          <w:p>
            <w:pPr>
              <w:spacing w:after="0"/>
              <w:rPr>
                <w:sz w:val="22"/>
                <w:szCs w:val="22"/>
                <w:color w:val="auto"/>
              </w:rPr>
            </w:pPr>
          </w:p>
        </w:tc>
      </w:tr>
      <w:tr>
        <w:trPr>
          <w:trHeight w:val="210"/>
        </w:trPr>
        <w:tc>
          <w:tcPr>
            <w:tcW w:w="2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020" w:type="dxa"/>
            <w:vAlign w:val="bottom"/>
            <w:gridSpan w:val="3"/>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6"/>
        </w:trPr>
        <w:tc>
          <w:tcPr>
            <w:tcW w:w="2120" w:type="dxa"/>
            <w:vAlign w:val="bottom"/>
          </w:tcPr>
          <w:p>
            <w:pPr>
              <w:spacing w:after="0"/>
              <w:rPr>
                <w:sz w:val="22"/>
                <w:szCs w:val="22"/>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maturities of lease liability</w:t>
            </w:r>
          </w:p>
        </w:tc>
        <w:tc>
          <w:tcPr>
            <w:tcW w:w="30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9,047</w:t>
            </w:r>
          </w:p>
        </w:tc>
        <w:tc>
          <w:tcPr>
            <w:tcW w:w="1380" w:type="dxa"/>
            <w:vAlign w:val="bottom"/>
          </w:tcPr>
          <w:p>
            <w:pPr>
              <w:spacing w:after="0"/>
              <w:rPr>
                <w:sz w:val="22"/>
                <w:szCs w:val="22"/>
                <w:color w:val="auto"/>
              </w:rPr>
            </w:pPr>
          </w:p>
        </w:tc>
      </w:tr>
      <w:tr>
        <w:trPr>
          <w:trHeight w:val="210"/>
        </w:trPr>
        <w:tc>
          <w:tcPr>
            <w:tcW w:w="2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020" w:type="dxa"/>
            <w:vAlign w:val="bottom"/>
            <w:gridSpan w:val="3"/>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7"/>
        </w:trPr>
        <w:tc>
          <w:tcPr>
            <w:tcW w:w="2120" w:type="dxa"/>
            <w:vAlign w:val="bottom"/>
          </w:tcPr>
          <w:p>
            <w:pPr>
              <w:spacing w:after="0"/>
              <w:rPr>
                <w:sz w:val="22"/>
                <w:szCs w:val="22"/>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lease liability</w:t>
            </w:r>
          </w:p>
        </w:tc>
        <w:tc>
          <w:tcPr>
            <w:tcW w:w="30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7,876</w:t>
            </w: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12,162</w:t>
            </w:r>
          </w:p>
        </w:tc>
        <w:tc>
          <w:tcPr>
            <w:tcW w:w="1380" w:type="dxa"/>
            <w:vAlign w:val="bottom"/>
          </w:tcPr>
          <w:p>
            <w:pPr>
              <w:spacing w:after="0"/>
              <w:rPr>
                <w:sz w:val="22"/>
                <w:szCs w:val="22"/>
                <w:color w:val="auto"/>
              </w:rPr>
            </w:pPr>
          </w:p>
        </w:tc>
      </w:tr>
      <w:tr>
        <w:trPr>
          <w:trHeight w:val="425"/>
        </w:trPr>
        <w:tc>
          <w:tcPr>
            <w:tcW w:w="2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020" w:type="dxa"/>
            <w:vAlign w:val="bottom"/>
            <w:gridSpan w:val="3"/>
          </w:tcPr>
          <w:p>
            <w:pPr>
              <w:ind w:left="380"/>
              <w:spacing w:after="0"/>
              <w:rPr>
                <w:sz w:val="20"/>
                <w:szCs w:val="20"/>
                <w:color w:val="auto"/>
              </w:rPr>
            </w:pPr>
            <w:r>
              <w:rPr>
                <w:rFonts w:ascii="Arial" w:cs="Arial" w:eastAsia="Arial" w:hAnsi="Arial"/>
                <w:sz w:val="18"/>
                <w:szCs w:val="18"/>
                <w:color w:val="auto"/>
              </w:rPr>
              <w:t>F - 36</w:t>
            </w: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1"/>
        </w:trPr>
        <w:tc>
          <w:tcPr>
            <w:tcW w:w="2120" w:type="dxa"/>
            <w:vAlign w:val="bottom"/>
            <w:tcBorders>
              <w:bottom w:val="single" w:sz="8" w:color="auto"/>
            </w:tcBorders>
          </w:tcPr>
          <w:p>
            <w:pPr>
              <w:spacing w:after="0"/>
              <w:rPr>
                <w:sz w:val="5"/>
                <w:szCs w:val="5"/>
                <w:color w:val="auto"/>
              </w:rPr>
            </w:pPr>
          </w:p>
        </w:tc>
        <w:tc>
          <w:tcPr>
            <w:tcW w:w="2900" w:type="dxa"/>
            <w:vAlign w:val="bottom"/>
            <w:tcBorders>
              <w:bottom w:val="single" w:sz="8" w:color="auto"/>
            </w:tcBorders>
          </w:tcPr>
          <w:p>
            <w:pPr>
              <w:spacing w:after="0"/>
              <w:rPr>
                <w:sz w:val="5"/>
                <w:szCs w:val="5"/>
                <w:color w:val="auto"/>
              </w:rPr>
            </w:pPr>
          </w:p>
        </w:tc>
        <w:tc>
          <w:tcPr>
            <w:tcW w:w="30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297"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LEASES (Cont.)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6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5300" w:type="dxa"/>
            <w:vAlign w:val="bottom"/>
            <w:gridSpan w:val="2"/>
          </w:tcPr>
          <w:p>
            <w:pPr>
              <w:ind w:left="180"/>
              <w:spacing w:after="0"/>
              <w:rPr>
                <w:sz w:val="20"/>
                <w:szCs w:val="20"/>
                <w:color w:val="auto"/>
              </w:rPr>
            </w:pPr>
            <w:r>
              <w:rPr>
                <w:rFonts w:ascii="Arial" w:cs="Arial" w:eastAsia="Arial" w:hAnsi="Arial"/>
                <w:sz w:val="18"/>
                <w:szCs w:val="18"/>
                <w:color w:val="auto"/>
              </w:rPr>
              <w:t>Right-of-use assets - Composition:</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14"/>
        </w:trPr>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Data</w:t>
            </w: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41"/>
        </w:trPr>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Offices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center</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rPr>
                <w:sz w:val="20"/>
                <w:szCs w:val="20"/>
                <w:color w:val="auto"/>
              </w:rPr>
            </w:pPr>
          </w:p>
        </w:tc>
      </w:tr>
      <w:tr>
        <w:trPr>
          <w:trHeight w:val="223"/>
        </w:trPr>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70"/>
              </w:rPr>
              <w:t>USD thousands</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80" w:type="dxa"/>
            <w:vAlign w:val="bottom"/>
          </w:tcPr>
          <w:p>
            <w:pPr>
              <w:spacing w:after="0"/>
              <w:rPr>
                <w:sz w:val="19"/>
                <w:szCs w:val="19"/>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02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13,155</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3,560</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16,715</w:t>
            </w:r>
          </w:p>
        </w:tc>
        <w:tc>
          <w:tcPr>
            <w:tcW w:w="13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02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Business combinations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3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Depreciation on right-of-use assets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(6,958)</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(4,422)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(11,380)</w:t>
            </w:r>
          </w:p>
        </w:tc>
        <w:tc>
          <w:tcPr>
            <w:tcW w:w="13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5,680</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7,309</w:t>
            </w:r>
          </w:p>
        </w:tc>
        <w:tc>
          <w:tcPr>
            <w:tcW w:w="13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Provision for impairment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1,808</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1,953</w:t>
            </w:r>
          </w:p>
        </w:tc>
        <w:tc>
          <w:tcPr>
            <w:tcW w:w="13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Lease modifications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3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Disposals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(4,570)</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(4,647)</w:t>
            </w:r>
          </w:p>
        </w:tc>
        <w:tc>
          <w:tcPr>
            <w:tcW w:w="1380" w:type="dxa"/>
            <w:vAlign w:val="bottom"/>
          </w:tcPr>
          <w:p>
            <w:pPr>
              <w:spacing w:after="0"/>
              <w:rPr>
                <w:sz w:val="18"/>
                <w:szCs w:val="18"/>
                <w:color w:val="auto"/>
              </w:rPr>
            </w:pPr>
          </w:p>
        </w:tc>
      </w:tr>
      <w:tr>
        <w:trPr>
          <w:trHeight w:val="223"/>
        </w:trPr>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380" w:type="dxa"/>
            <w:vAlign w:val="bottom"/>
          </w:tcPr>
          <w:p>
            <w:pPr>
              <w:spacing w:after="0"/>
              <w:rPr>
                <w:sz w:val="19"/>
                <w:szCs w:val="19"/>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4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5,925</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4,897</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10,822</w:t>
            </w:r>
          </w:p>
        </w:tc>
        <w:tc>
          <w:tcPr>
            <w:tcW w:w="13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02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1020" w:type="dxa"/>
            <w:vAlign w:val="bottom"/>
            <w:gridSpan w:val="3"/>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Depreciation on right-of-use assets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(5,223)</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(7,535)</w:t>
            </w:r>
          </w:p>
        </w:tc>
        <w:tc>
          <w:tcPr>
            <w:tcW w:w="13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13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Provision for impairment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1,201</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1,201</w:t>
            </w:r>
          </w:p>
        </w:tc>
        <w:tc>
          <w:tcPr>
            <w:tcW w:w="13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Lease modifications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3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Disposals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w:t>
            </w:r>
          </w:p>
        </w:tc>
        <w:tc>
          <w:tcPr>
            <w:tcW w:w="1380" w:type="dxa"/>
            <w:vAlign w:val="bottom"/>
          </w:tcPr>
          <w:p>
            <w:pPr>
              <w:spacing w:after="0"/>
              <w:rPr>
                <w:sz w:val="18"/>
                <w:szCs w:val="18"/>
                <w:color w:val="auto"/>
              </w:rPr>
            </w:pPr>
          </w:p>
        </w:tc>
      </w:tr>
      <w:tr>
        <w:trPr>
          <w:trHeight w:val="223"/>
        </w:trPr>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Exchange rate differences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380" w:type="dxa"/>
            <w:vAlign w:val="bottom"/>
          </w:tcPr>
          <w:p>
            <w:pPr>
              <w:spacing w:after="0"/>
              <w:rPr>
                <w:sz w:val="19"/>
                <w:szCs w:val="19"/>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4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380" w:type="dxa"/>
            <w:vAlign w:val="bottom"/>
          </w:tcPr>
          <w:p>
            <w:pPr>
              <w:spacing w:after="0"/>
              <w:rPr>
                <w:sz w:val="18"/>
                <w:szCs w:val="18"/>
                <w:color w:val="auto"/>
              </w:rPr>
            </w:pPr>
          </w:p>
        </w:tc>
      </w:tr>
      <w:tr>
        <w:trPr>
          <w:trHeight w:val="237"/>
        </w:trPr>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5,424</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2,849</w:t>
            </w: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8,273</w:t>
            </w:r>
          </w:p>
        </w:tc>
        <w:tc>
          <w:tcPr>
            <w:tcW w:w="1380" w:type="dxa"/>
            <w:vAlign w:val="bottom"/>
          </w:tcPr>
          <w:p>
            <w:pPr>
              <w:spacing w:after="0"/>
              <w:rPr>
                <w:sz w:val="20"/>
                <w:szCs w:val="20"/>
                <w:color w:val="auto"/>
              </w:rPr>
            </w:pPr>
          </w:p>
        </w:tc>
      </w:tr>
      <w:tr>
        <w:trPr>
          <w:trHeight w:val="20"/>
        </w:trPr>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26"/>
        </w:trPr>
        <w:tc>
          <w:tcPr>
            <w:tcW w:w="186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5300" w:type="dxa"/>
            <w:vAlign w:val="bottom"/>
            <w:gridSpan w:val="2"/>
          </w:tcPr>
          <w:p>
            <w:pPr>
              <w:ind w:left="180"/>
              <w:spacing w:after="0"/>
              <w:rPr>
                <w:sz w:val="20"/>
                <w:szCs w:val="20"/>
                <w:color w:val="auto"/>
              </w:rPr>
            </w:pPr>
            <w:r>
              <w:rPr>
                <w:rFonts w:ascii="Arial" w:cs="Arial" w:eastAsia="Arial" w:hAnsi="Arial"/>
                <w:sz w:val="18"/>
                <w:szCs w:val="18"/>
                <w:color w:val="auto"/>
              </w:rPr>
              <w:t>Amounts recognized in statement of operation:</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14"/>
        </w:trPr>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41"/>
        </w:trPr>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8"/>
                <w:szCs w:val="18"/>
                <w:b w:val="1"/>
                <w:bCs w:val="1"/>
                <w:color w:val="auto"/>
                <w:w w:val="89"/>
              </w:rPr>
              <w:t>December 31</w:t>
            </w:r>
          </w:p>
        </w:tc>
        <w:tc>
          <w:tcPr>
            <w:tcW w:w="720" w:type="dxa"/>
            <w:vAlign w:val="bottom"/>
            <w:tcBorders>
              <w:bottom w:val="single" w:sz="8" w:color="auto"/>
            </w:tcBorders>
          </w:tcPr>
          <w:p>
            <w:pPr>
              <w:spacing w:after="0"/>
              <w:rPr>
                <w:sz w:val="20"/>
                <w:szCs w:val="20"/>
                <w:color w:val="auto"/>
              </w:rPr>
            </w:pPr>
          </w:p>
        </w:tc>
        <w:tc>
          <w:tcPr>
            <w:tcW w:w="1380" w:type="dxa"/>
            <w:vAlign w:val="bottom"/>
          </w:tcPr>
          <w:p>
            <w:pPr>
              <w:spacing w:after="0"/>
              <w:rPr>
                <w:sz w:val="20"/>
                <w:szCs w:val="20"/>
                <w:color w:val="auto"/>
              </w:rPr>
            </w:pPr>
          </w:p>
        </w:tc>
      </w:tr>
      <w:tr>
        <w:trPr>
          <w:trHeight w:val="223"/>
        </w:trPr>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380" w:type="dxa"/>
            <w:vAlign w:val="bottom"/>
          </w:tcPr>
          <w:p>
            <w:pPr>
              <w:spacing w:after="0"/>
              <w:rPr>
                <w:sz w:val="19"/>
                <w:szCs w:val="19"/>
                <w:color w:val="auto"/>
              </w:rPr>
            </w:pPr>
          </w:p>
        </w:tc>
      </w:tr>
      <w:tr>
        <w:trPr>
          <w:trHeight w:val="223"/>
        </w:trPr>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70"/>
              </w:rPr>
              <w:t>USD thousands</w:t>
            </w:r>
          </w:p>
        </w:tc>
        <w:tc>
          <w:tcPr>
            <w:tcW w:w="240" w:type="dxa"/>
            <w:vAlign w:val="bottom"/>
            <w:tcBorders>
              <w:bottom w:val="single" w:sz="8" w:color="auto"/>
            </w:tcBorders>
            <w:gridSpan w:val="2"/>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80" w:type="dxa"/>
            <w:vAlign w:val="bottom"/>
          </w:tcPr>
          <w:p>
            <w:pPr>
              <w:spacing w:after="0"/>
              <w:rPr>
                <w:sz w:val="19"/>
                <w:szCs w:val="19"/>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02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expenses on lease liability</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3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Depreciation and amortization of right-of-use assets, net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(6,334)</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(8,855)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(9,109)</w:t>
            </w:r>
          </w:p>
        </w:tc>
        <w:tc>
          <w:tcPr>
            <w:tcW w:w="1380" w:type="dxa"/>
            <w:vAlign w:val="bottom"/>
          </w:tcPr>
          <w:p>
            <w:pPr>
              <w:spacing w:after="0"/>
              <w:rPr>
                <w:sz w:val="18"/>
                <w:szCs w:val="18"/>
                <w:color w:val="auto"/>
              </w:rPr>
            </w:pPr>
          </w:p>
        </w:tc>
      </w:tr>
      <w:tr>
        <w:trPr>
          <w:trHeight w:val="223"/>
        </w:trPr>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recognized in profit or loss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1,829</w:t>
            </w:r>
          </w:p>
        </w:tc>
        <w:tc>
          <w:tcPr>
            <w:tcW w:w="100" w:type="dxa"/>
            <w:vAlign w:val="bottom"/>
            <w:shd w:val="clear" w:color="auto" w:fill="CCEEFF"/>
          </w:tcPr>
          <w:p>
            <w:pPr>
              <w:spacing w:after="0"/>
              <w:rPr>
                <w:sz w:val="19"/>
                <w:szCs w:val="19"/>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380" w:type="dxa"/>
            <w:vAlign w:val="bottom"/>
          </w:tcPr>
          <w:p>
            <w:pPr>
              <w:spacing w:after="0"/>
              <w:rPr>
                <w:sz w:val="19"/>
                <w:szCs w:val="19"/>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4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380" w:type="dxa"/>
            <w:vAlign w:val="bottom"/>
          </w:tcPr>
          <w:p>
            <w:pPr>
              <w:spacing w:after="0"/>
              <w:rPr>
                <w:sz w:val="18"/>
                <w:szCs w:val="18"/>
                <w:color w:val="auto"/>
              </w:rPr>
            </w:pPr>
          </w:p>
        </w:tc>
      </w:tr>
      <w:tr>
        <w:trPr>
          <w:trHeight w:val="256"/>
        </w:trPr>
        <w:tc>
          <w:tcPr>
            <w:tcW w:w="1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(6,897)</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(8,143)</w:t>
            </w:r>
          </w:p>
        </w:tc>
        <w:tc>
          <w:tcPr>
            <w:tcW w:w="100" w:type="dxa"/>
            <w:vAlign w:val="bottom"/>
            <w:shd w:val="clear" w:color="auto" w:fill="CCEEFF"/>
          </w:tcPr>
          <w:p>
            <w:pPr>
              <w:spacing w:after="0"/>
              <w:rPr>
                <w:sz w:val="22"/>
                <w:szCs w:val="22"/>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(8,139)</w:t>
            </w:r>
          </w:p>
        </w:tc>
        <w:tc>
          <w:tcPr>
            <w:tcW w:w="1380" w:type="dxa"/>
            <w:vAlign w:val="bottom"/>
          </w:tcPr>
          <w:p>
            <w:pPr>
              <w:spacing w:after="0"/>
              <w:rPr>
                <w:sz w:val="22"/>
                <w:szCs w:val="22"/>
                <w:color w:val="auto"/>
              </w:rPr>
            </w:pPr>
          </w:p>
        </w:tc>
      </w:tr>
      <w:tr>
        <w:trPr>
          <w:trHeight w:val="426"/>
        </w:trPr>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40" w:type="dxa"/>
            <w:vAlign w:val="bottom"/>
            <w:tcBorders>
              <w:top w:val="single" w:sz="8" w:color="CCEEFF"/>
            </w:tcBorders>
          </w:tcPr>
          <w:p>
            <w:pPr>
              <w:ind w:left="3280"/>
              <w:spacing w:after="0"/>
              <w:rPr>
                <w:sz w:val="20"/>
                <w:szCs w:val="20"/>
                <w:color w:val="auto"/>
              </w:rPr>
            </w:pPr>
            <w:r>
              <w:rPr>
                <w:rFonts w:ascii="Arial" w:cs="Arial" w:eastAsia="Arial" w:hAnsi="Arial"/>
                <w:sz w:val="18"/>
                <w:szCs w:val="18"/>
                <w:color w:val="auto"/>
              </w:rPr>
              <w:t>F - 37</w:t>
            </w:r>
          </w:p>
        </w:tc>
        <w:tc>
          <w:tcPr>
            <w:tcW w:w="7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r>
      <w:tr>
        <w:trPr>
          <w:trHeight w:val="61"/>
        </w:trPr>
        <w:tc>
          <w:tcPr>
            <w:tcW w:w="18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0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297"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LEASES (Cont.)</w:t>
      </w:r>
    </w:p>
    <w:p>
      <w:pPr>
        <w:spacing w:after="0" w:line="229" w:lineRule="exact"/>
        <w:rPr>
          <w:sz w:val="20"/>
          <w:szCs w:val="20"/>
          <w:color w:val="auto"/>
        </w:rPr>
      </w:pPr>
    </w:p>
    <w:p>
      <w:pPr>
        <w:ind w:left="2040" w:hanging="507"/>
        <w:spacing w:after="0"/>
        <w:tabs>
          <w:tab w:leader="none" w:pos="20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Amounts recognized in the statement of cash flows:</w:t>
      </w:r>
    </w:p>
    <w:p>
      <w:pPr>
        <w:spacing w:after="0" w:line="221" w:lineRule="exact"/>
        <w:rPr>
          <w:sz w:val="20"/>
          <w:szCs w:val="20"/>
          <w:color w:val="auto"/>
        </w:rPr>
      </w:pPr>
    </w:p>
    <w:p>
      <w:pPr>
        <w:jc w:val="center"/>
        <w:ind w:left="570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57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5715</wp:posOffset>
            </wp:positionV>
            <wp:extent cx="1671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1671320" cy="17145"/>
                    </a:xfrm>
                    <a:prstGeom prst="rect">
                      <a:avLst/>
                    </a:prstGeom>
                    <a:noFill/>
                  </pic:spPr>
                </pic:pic>
              </a:graphicData>
            </a:graphic>
          </wp:anchor>
        </w:drawing>
      </w:r>
    </w:p>
    <w:p>
      <w:pPr>
        <w:ind w:left="7380"/>
        <w:spacing w:after="0"/>
        <w:tabs>
          <w:tab w:leader="none" w:pos="8300" w:val="left"/>
          <w:tab w:leader="none" w:pos="922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1671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1671320" cy="17145"/>
                    </a:xfrm>
                    <a:prstGeom prst="rect">
                      <a:avLst/>
                    </a:prstGeom>
                    <a:noFill/>
                  </pic:spPr>
                </pic:pic>
              </a:graphicData>
            </a:graphic>
          </wp:anchor>
        </w:drawing>
      </w:r>
    </w:p>
    <w:p>
      <w:pPr>
        <w:spacing w:after="0" w:line="16"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USD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1671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1671320" cy="17145"/>
                    </a:xfrm>
                    <a:prstGeom prst="rect">
                      <a:avLst/>
                    </a:prstGeom>
                    <a:noFill/>
                  </pic:spPr>
                </pic:pic>
              </a:graphicData>
            </a:graphic>
          </wp:anchor>
        </w:drawing>
      </w:r>
    </w:p>
    <w:p>
      <w:pPr>
        <w:spacing w:after="0" w:line="250" w:lineRule="exact"/>
        <w:rPr>
          <w:sz w:val="20"/>
          <w:szCs w:val="20"/>
          <w:color w:val="auto"/>
        </w:rPr>
      </w:pPr>
    </w:p>
    <w:tbl>
      <w:tblPr>
        <w:tblLayout w:type="fixed"/>
        <w:tblInd w:w="2120" w:type="dxa"/>
        <w:tblCellMar>
          <w:top w:w="0" w:type="dxa"/>
          <w:left w:w="0" w:type="dxa"/>
          <w:bottom w:w="0" w:type="dxa"/>
          <w:right w:w="0" w:type="dxa"/>
        </w:tblCellMar>
      </w:tblP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outflow for leases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(10,579)</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(14,468)</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(13,386)</w:t>
            </w:r>
          </w:p>
        </w:tc>
      </w:tr>
      <w:tr>
        <w:trPr>
          <w:trHeight w:val="27"/>
        </w:trPr>
        <w:tc>
          <w:tcPr>
            <w:tcW w:w="504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r>
    </w:tbl>
    <w:p>
      <w:pPr>
        <w:spacing w:after="0" w:line="198" w:lineRule="exact"/>
        <w:rPr>
          <w:sz w:val="20"/>
          <w:szCs w:val="20"/>
          <w:color w:val="auto"/>
        </w:rPr>
      </w:pPr>
    </w:p>
    <w:p>
      <w:pPr>
        <w:ind w:left="1520" w:hanging="500"/>
        <w:spacing w:after="0"/>
        <w:tabs>
          <w:tab w:leader="none" w:pos="15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Leases in which the Group is a lessor:</w:t>
      </w:r>
    </w:p>
    <w:p>
      <w:pPr>
        <w:spacing w:after="0" w:line="229" w:lineRule="exact"/>
        <w:rPr>
          <w:rFonts w:ascii="Arial" w:cs="Arial" w:eastAsia="Arial" w:hAnsi="Arial"/>
          <w:sz w:val="18"/>
          <w:szCs w:val="18"/>
          <w:b w:val="1"/>
          <w:bCs w:val="1"/>
          <w:color w:val="auto"/>
        </w:rPr>
      </w:pPr>
    </w:p>
    <w:p>
      <w:pPr>
        <w:ind w:left="2040" w:hanging="507"/>
        <w:spacing w:after="0"/>
        <w:tabs>
          <w:tab w:leader="none" w:pos="20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Information regarding material lease agreements:</w:t>
      </w:r>
    </w:p>
    <w:p>
      <w:pPr>
        <w:spacing w:after="0" w:line="225"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8"/>
          <w:szCs w:val="18"/>
          <w:color w:val="auto"/>
        </w:rPr>
        <w:t>The Group subleases offices at the US for periods expiring in 2027.</w:t>
      </w:r>
    </w:p>
    <w:p>
      <w:pPr>
        <w:spacing w:after="0" w:line="225" w:lineRule="exact"/>
        <w:rPr>
          <w:rFonts w:ascii="Arial" w:cs="Arial" w:eastAsia="Arial" w:hAnsi="Arial"/>
          <w:sz w:val="18"/>
          <w:szCs w:val="18"/>
          <w:color w:val="auto"/>
        </w:rPr>
      </w:pPr>
    </w:p>
    <w:p>
      <w:pPr>
        <w:ind w:left="2040" w:hanging="507"/>
        <w:spacing w:after="0"/>
        <w:tabs>
          <w:tab w:leader="none" w:pos="20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Net investment in the lease:</w:t>
      </w:r>
    </w:p>
    <w:p>
      <w:pPr>
        <w:spacing w:after="0" w:line="225"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8"/>
          <w:szCs w:val="18"/>
          <w:color w:val="auto"/>
        </w:rPr>
        <w:t>Presented hereunder is the movement in the net investment in the lease: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12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Offices</w:t>
            </w:r>
          </w:p>
        </w:tc>
        <w:tc>
          <w:tcPr>
            <w:tcW w:w="640" w:type="dxa"/>
            <w:vAlign w:val="bottom"/>
            <w:tcBorders>
              <w:bottom w:val="single" w:sz="8" w:color="auto"/>
            </w:tcBorders>
          </w:tcPr>
          <w:p>
            <w:pPr>
              <w:spacing w:after="0"/>
              <w:rPr>
                <w:sz w:val="20"/>
                <w:szCs w:val="20"/>
                <w:color w:val="auto"/>
              </w:rPr>
            </w:pPr>
          </w:p>
        </w:tc>
        <w:tc>
          <w:tcPr>
            <w:tcW w:w="1380" w:type="dxa"/>
            <w:vAlign w:val="bottom"/>
          </w:tcPr>
          <w:p>
            <w:pPr>
              <w:spacing w:after="0"/>
              <w:rPr>
                <w:sz w:val="20"/>
                <w:szCs w:val="20"/>
                <w:color w:val="auto"/>
              </w:rPr>
            </w:pPr>
          </w:p>
        </w:tc>
      </w:tr>
      <w:tr>
        <w:trPr>
          <w:trHeight w:val="198"/>
        </w:trPr>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1760" w:type="dxa"/>
            <w:vAlign w:val="bottom"/>
            <w:gridSpan w:val="4"/>
          </w:tcPr>
          <w:p>
            <w:pPr>
              <w:jc w:val="center"/>
              <w:spacing w:after="0" w:line="198" w:lineRule="exact"/>
              <w:rPr>
                <w:sz w:val="20"/>
                <w:szCs w:val="20"/>
                <w:color w:val="auto"/>
              </w:rPr>
            </w:pPr>
            <w:r>
              <w:rPr>
                <w:rFonts w:ascii="Arial" w:cs="Arial" w:eastAsia="Arial" w:hAnsi="Arial"/>
                <w:sz w:val="18"/>
                <w:szCs w:val="18"/>
                <w:b w:val="1"/>
                <w:bCs w:val="1"/>
                <w:color w:val="auto"/>
                <w:w w:val="88"/>
              </w:rPr>
              <w:t>Year ended</w:t>
            </w:r>
          </w:p>
        </w:tc>
        <w:tc>
          <w:tcPr>
            <w:tcW w:w="1380" w:type="dxa"/>
            <w:vAlign w:val="bottom"/>
          </w:tcPr>
          <w:p>
            <w:pPr>
              <w:spacing w:after="0"/>
              <w:rPr>
                <w:sz w:val="17"/>
                <w:szCs w:val="17"/>
                <w:color w:val="auto"/>
              </w:rPr>
            </w:pPr>
          </w:p>
        </w:tc>
      </w:tr>
      <w:tr>
        <w:trPr>
          <w:trHeight w:val="241"/>
        </w:trPr>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December 31</w:t>
            </w:r>
          </w:p>
        </w:tc>
        <w:tc>
          <w:tcPr>
            <w:tcW w:w="1380" w:type="dxa"/>
            <w:vAlign w:val="bottom"/>
          </w:tcPr>
          <w:p>
            <w:pPr>
              <w:spacing w:after="0"/>
              <w:rPr>
                <w:sz w:val="20"/>
                <w:szCs w:val="20"/>
                <w:color w:val="auto"/>
              </w:rPr>
            </w:pPr>
          </w:p>
        </w:tc>
      </w:tr>
      <w:tr>
        <w:trPr>
          <w:trHeight w:val="223"/>
        </w:trPr>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2020</w:t>
            </w:r>
          </w:p>
        </w:tc>
        <w:tc>
          <w:tcPr>
            <w:tcW w:w="1380" w:type="dxa"/>
            <w:vAlign w:val="bottom"/>
          </w:tcPr>
          <w:p>
            <w:pPr>
              <w:spacing w:after="0"/>
              <w:rPr>
                <w:sz w:val="19"/>
                <w:szCs w:val="19"/>
                <w:color w:val="auto"/>
              </w:rPr>
            </w:pPr>
          </w:p>
        </w:tc>
      </w:tr>
      <w:tr>
        <w:trPr>
          <w:trHeight w:val="223"/>
        </w:trPr>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USD</w:t>
            </w:r>
          </w:p>
        </w:tc>
        <w:tc>
          <w:tcPr>
            <w:tcW w:w="9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w w:val="70"/>
              </w:rPr>
              <w:t>thousands</w:t>
            </w:r>
          </w:p>
        </w:tc>
        <w:tc>
          <w:tcPr>
            <w:tcW w:w="1380" w:type="dxa"/>
            <w:vAlign w:val="bottom"/>
          </w:tcPr>
          <w:p>
            <w:pPr>
              <w:spacing w:after="0"/>
              <w:rPr>
                <w:sz w:val="19"/>
                <w:szCs w:val="19"/>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w:t>
            </w: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7,835</w:t>
            </w:r>
          </w:p>
        </w:tc>
        <w:tc>
          <w:tcPr>
            <w:tcW w:w="1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13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Sublease receipts</w:t>
            </w: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(2,454)</w:t>
            </w:r>
          </w:p>
        </w:tc>
        <w:tc>
          <w:tcPr>
            <w:tcW w:w="1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13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Additions</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7,094</w:t>
            </w:r>
          </w:p>
        </w:tc>
        <w:tc>
          <w:tcPr>
            <w:tcW w:w="1380" w:type="dxa"/>
            <w:vAlign w:val="bottom"/>
          </w:tcPr>
          <w:p>
            <w:pPr>
              <w:spacing w:after="0"/>
              <w:rPr>
                <w:sz w:val="18"/>
                <w:szCs w:val="18"/>
                <w:color w:val="auto"/>
              </w:rPr>
            </w:pPr>
          </w:p>
        </w:tc>
      </w:tr>
      <w:tr>
        <w:trPr>
          <w:trHeight w:val="223"/>
        </w:trPr>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380" w:type="dxa"/>
            <w:vAlign w:val="bottom"/>
          </w:tcPr>
          <w:p>
            <w:pPr>
              <w:spacing w:after="0"/>
              <w:rPr>
                <w:sz w:val="19"/>
                <w:szCs w:val="19"/>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380" w:type="dxa"/>
            <w:vAlign w:val="bottom"/>
          </w:tcPr>
          <w:p>
            <w:pPr>
              <w:spacing w:after="0"/>
              <w:rPr>
                <w:sz w:val="18"/>
                <w:szCs w:val="18"/>
                <w:color w:val="auto"/>
              </w:rPr>
            </w:pPr>
          </w:p>
        </w:tc>
      </w:tr>
      <w:tr>
        <w:trPr>
          <w:trHeight w:val="257"/>
        </w:trPr>
        <w:tc>
          <w:tcPr>
            <w:tcW w:w="1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5,682</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7,835</w:t>
            </w:r>
          </w:p>
        </w:tc>
        <w:tc>
          <w:tcPr>
            <w:tcW w:w="1380" w:type="dxa"/>
            <w:vAlign w:val="bottom"/>
          </w:tcPr>
          <w:p>
            <w:pPr>
              <w:spacing w:after="0"/>
              <w:rPr>
                <w:sz w:val="22"/>
                <w:szCs w:val="22"/>
                <w:color w:val="auto"/>
              </w:rPr>
            </w:pPr>
          </w:p>
        </w:tc>
      </w:tr>
      <w:tr>
        <w:trPr>
          <w:trHeight w:val="425"/>
        </w:trPr>
        <w:tc>
          <w:tcPr>
            <w:tcW w:w="186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6240" w:type="dxa"/>
            <w:vAlign w:val="bottom"/>
            <w:gridSpan w:val="2"/>
          </w:tcPr>
          <w:p>
            <w:pPr>
              <w:ind w:left="180"/>
              <w:spacing w:after="0"/>
              <w:rPr>
                <w:sz w:val="20"/>
                <w:szCs w:val="20"/>
                <w:color w:val="auto"/>
              </w:rPr>
            </w:pPr>
            <w:r>
              <w:rPr>
                <w:rFonts w:ascii="Arial" w:cs="Arial" w:eastAsia="Arial" w:hAnsi="Arial"/>
                <w:sz w:val="18"/>
                <w:szCs w:val="18"/>
                <w:color w:val="auto"/>
              </w:rPr>
              <w:t>Maturity analysis of net investment in finance leases:</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14"/>
        </w:trPr>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1380" w:type="dxa"/>
            <w:vAlign w:val="bottom"/>
          </w:tcPr>
          <w:p>
            <w:pPr>
              <w:spacing w:after="0"/>
              <w:rPr>
                <w:sz w:val="24"/>
                <w:szCs w:val="24"/>
                <w:color w:val="auto"/>
              </w:rPr>
            </w:pPr>
          </w:p>
        </w:tc>
      </w:tr>
      <w:tr>
        <w:trPr>
          <w:trHeight w:val="241"/>
        </w:trPr>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December 31</w:t>
            </w:r>
          </w:p>
        </w:tc>
        <w:tc>
          <w:tcPr>
            <w:tcW w:w="1380" w:type="dxa"/>
            <w:vAlign w:val="bottom"/>
          </w:tcPr>
          <w:p>
            <w:pPr>
              <w:spacing w:after="0"/>
              <w:rPr>
                <w:sz w:val="20"/>
                <w:szCs w:val="20"/>
                <w:color w:val="auto"/>
              </w:rPr>
            </w:pPr>
          </w:p>
        </w:tc>
      </w:tr>
      <w:tr>
        <w:trPr>
          <w:trHeight w:val="223"/>
        </w:trPr>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2020</w:t>
            </w:r>
          </w:p>
        </w:tc>
        <w:tc>
          <w:tcPr>
            <w:tcW w:w="1380" w:type="dxa"/>
            <w:vAlign w:val="bottom"/>
          </w:tcPr>
          <w:p>
            <w:pPr>
              <w:spacing w:after="0"/>
              <w:rPr>
                <w:sz w:val="19"/>
                <w:szCs w:val="19"/>
                <w:color w:val="auto"/>
              </w:rPr>
            </w:pPr>
          </w:p>
        </w:tc>
      </w:tr>
      <w:tr>
        <w:trPr>
          <w:trHeight w:val="223"/>
        </w:trPr>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USD</w:t>
            </w:r>
          </w:p>
        </w:tc>
        <w:tc>
          <w:tcPr>
            <w:tcW w:w="9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w w:val="70"/>
              </w:rPr>
              <w:t>thousands</w:t>
            </w:r>
          </w:p>
        </w:tc>
        <w:tc>
          <w:tcPr>
            <w:tcW w:w="1380" w:type="dxa"/>
            <w:vAlign w:val="bottom"/>
          </w:tcPr>
          <w:p>
            <w:pPr>
              <w:spacing w:after="0"/>
              <w:rPr>
                <w:sz w:val="19"/>
                <w:szCs w:val="19"/>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Less than one year (0-1)</w:t>
            </w: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1,067</w:t>
            </w:r>
          </w:p>
        </w:tc>
        <w:tc>
          <w:tcPr>
            <w:tcW w:w="1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13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One to five years (1-5)</w:t>
            </w: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3,789</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3,816</w:t>
            </w:r>
          </w:p>
        </w:tc>
        <w:tc>
          <w:tcPr>
            <w:tcW w:w="1380" w:type="dxa"/>
            <w:vAlign w:val="bottom"/>
          </w:tcPr>
          <w:p>
            <w:pPr>
              <w:spacing w:after="0"/>
              <w:rPr>
                <w:sz w:val="18"/>
                <w:szCs w:val="18"/>
                <w:color w:val="auto"/>
              </w:rPr>
            </w:pPr>
          </w:p>
        </w:tc>
      </w:tr>
      <w:tr>
        <w:trPr>
          <w:trHeight w:val="223"/>
        </w:trPr>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More than five years (5+)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380" w:type="dxa"/>
            <w:vAlign w:val="bottom"/>
          </w:tcPr>
          <w:p>
            <w:pPr>
              <w:spacing w:after="0"/>
              <w:rPr>
                <w:sz w:val="19"/>
                <w:szCs w:val="19"/>
                <w:color w:val="auto"/>
              </w:rPr>
            </w:pPr>
          </w:p>
        </w:tc>
      </w:tr>
      <w:tr>
        <w:trPr>
          <w:trHeight w:val="216"/>
        </w:trPr>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6"/>
        </w:trPr>
        <w:tc>
          <w:tcPr>
            <w:tcW w:w="1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investment in the lease as of December 31,</w:t>
            </w: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5,682</w:t>
            </w:r>
          </w:p>
        </w:tc>
        <w:tc>
          <w:tcPr>
            <w:tcW w:w="180" w:type="dxa"/>
            <w:vAlign w:val="bottom"/>
            <w:shd w:val="clear" w:color="auto" w:fill="CCEEFF"/>
          </w:tcPr>
          <w:p>
            <w:pPr>
              <w:spacing w:after="0"/>
              <w:rPr>
                <w:sz w:val="22"/>
                <w:szCs w:val="22"/>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7,835</w:t>
            </w:r>
          </w:p>
        </w:tc>
        <w:tc>
          <w:tcPr>
            <w:tcW w:w="1380" w:type="dxa"/>
            <w:vAlign w:val="bottom"/>
          </w:tcPr>
          <w:p>
            <w:pPr>
              <w:spacing w:after="0"/>
              <w:rPr>
                <w:sz w:val="22"/>
                <w:szCs w:val="22"/>
                <w:color w:val="auto"/>
              </w:rPr>
            </w:pPr>
          </w:p>
        </w:tc>
      </w:tr>
      <w:tr>
        <w:trPr>
          <w:trHeight w:val="426"/>
        </w:trPr>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80" w:type="dxa"/>
            <w:vAlign w:val="bottom"/>
            <w:tcBorders>
              <w:top w:val="single" w:sz="8" w:color="CCEEFF"/>
            </w:tcBorders>
          </w:tcPr>
          <w:p>
            <w:pPr>
              <w:ind w:left="3280"/>
              <w:spacing w:after="0"/>
              <w:rPr>
                <w:sz w:val="20"/>
                <w:szCs w:val="20"/>
                <w:color w:val="auto"/>
              </w:rPr>
            </w:pPr>
            <w:r>
              <w:rPr>
                <w:rFonts w:ascii="Arial" w:cs="Arial" w:eastAsia="Arial" w:hAnsi="Arial"/>
                <w:sz w:val="18"/>
                <w:szCs w:val="18"/>
                <w:color w:val="auto"/>
              </w:rPr>
              <w:t>F - 38</w:t>
            </w:r>
          </w:p>
        </w:tc>
        <w:tc>
          <w:tcPr>
            <w:tcW w:w="7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r>
      <w:tr>
        <w:trPr>
          <w:trHeight w:val="61"/>
        </w:trPr>
        <w:tc>
          <w:tcPr>
            <w:tcW w:w="18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9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297" w:right="3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LEASES (Cont.)</w:t>
      </w:r>
    </w:p>
    <w:p>
      <w:pPr>
        <w:spacing w:after="0" w:line="229" w:lineRule="exact"/>
        <w:rPr>
          <w:sz w:val="20"/>
          <w:szCs w:val="20"/>
          <w:color w:val="auto"/>
        </w:rPr>
      </w:pPr>
    </w:p>
    <w:p>
      <w:pPr>
        <w:ind w:left="2040" w:hanging="507"/>
        <w:spacing w:after="0"/>
        <w:tabs>
          <w:tab w:leader="none" w:pos="20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Amounts recognized in statement of operation:</w:t>
      </w:r>
    </w:p>
    <w:p>
      <w:pPr>
        <w:spacing w:after="0" w:line="221" w:lineRule="exact"/>
        <w:rPr>
          <w:sz w:val="20"/>
          <w:szCs w:val="20"/>
          <w:color w:val="auto"/>
        </w:rPr>
      </w:pPr>
    </w:p>
    <w:tbl>
      <w:tblPr>
        <w:tblLayout w:type="fixed"/>
        <w:tblInd w:w="2120" w:type="dxa"/>
        <w:tblCellMar>
          <w:top w:w="0" w:type="dxa"/>
          <w:left w:w="0" w:type="dxa"/>
          <w:bottom w:w="0" w:type="dxa"/>
          <w:right w:w="0" w:type="dxa"/>
        </w:tblCellMar>
      </w:tblPr>
      <w:tr>
        <w:trPr>
          <w:trHeight w:val="241"/>
        </w:trPr>
        <w:tc>
          <w:tcPr>
            <w:tcW w:w="50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8"/>
                <w:szCs w:val="18"/>
                <w:b w:val="1"/>
                <w:bCs w:val="1"/>
                <w:color w:val="auto"/>
                <w:w w:val="88"/>
              </w:rPr>
              <w:t>Offices</w:t>
            </w:r>
          </w:p>
        </w:tc>
        <w:tc>
          <w:tcPr>
            <w:tcW w:w="6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8"/>
        </w:trPr>
        <w:tc>
          <w:tcPr>
            <w:tcW w:w="5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4"/>
          </w:tcPr>
          <w:p>
            <w:pPr>
              <w:jc w:val="center"/>
              <w:ind w:right="160"/>
              <w:spacing w:after="0" w:line="198" w:lineRule="exact"/>
              <w:rPr>
                <w:sz w:val="20"/>
                <w:szCs w:val="20"/>
                <w:color w:val="auto"/>
              </w:rPr>
            </w:pPr>
            <w:r>
              <w:rPr>
                <w:rFonts w:ascii="Arial" w:cs="Arial" w:eastAsia="Arial" w:hAnsi="Arial"/>
                <w:sz w:val="18"/>
                <w:szCs w:val="18"/>
                <w:b w:val="1"/>
                <w:bCs w:val="1"/>
                <w:color w:val="auto"/>
                <w:w w:val="90"/>
              </w:rPr>
              <w:t>Year ended</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1"/>
        </w:trPr>
        <w:tc>
          <w:tcPr>
            <w:tcW w:w="50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8"/>
                <w:szCs w:val="18"/>
                <w:b w:val="1"/>
                <w:bCs w:val="1"/>
                <w:color w:val="auto"/>
                <w:w w:val="89"/>
              </w:rPr>
              <w:t>December 31</w:t>
            </w:r>
          </w:p>
        </w:tc>
        <w:tc>
          <w:tcPr>
            <w:tcW w:w="6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5040" w:type="dxa"/>
            <w:vAlign w:val="bottom"/>
          </w:tcPr>
          <w:p>
            <w:pPr>
              <w:spacing w:after="0"/>
              <w:rPr>
                <w:sz w:val="19"/>
                <w:szCs w:val="19"/>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9"/>
                <w:szCs w:val="19"/>
                <w:color w:val="auto"/>
              </w:rPr>
            </w:pPr>
          </w:p>
        </w:tc>
      </w:tr>
      <w:tr>
        <w:trPr>
          <w:trHeight w:val="223"/>
        </w:trPr>
        <w:tc>
          <w:tcPr>
            <w:tcW w:w="50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70"/>
              </w:rPr>
              <w:t>USD thousands</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04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0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subleases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956</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Financing income on the net investment in the lease</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9"/>
                <w:szCs w:val="19"/>
                <w:color w:val="auto"/>
              </w:rPr>
            </w:pPr>
          </w:p>
        </w:tc>
      </w:tr>
      <w:tr>
        <w:trPr>
          <w:trHeight w:val="216"/>
        </w:trPr>
        <w:tc>
          <w:tcPr>
            <w:tcW w:w="50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18"/>
                <w:szCs w:val="18"/>
                <w:color w:val="auto"/>
              </w:rPr>
            </w:pPr>
          </w:p>
        </w:tc>
        <w:tc>
          <w:tcPr>
            <w:tcW w:w="1080" w:type="dxa"/>
            <w:vAlign w:val="bottom"/>
            <w:gridSpan w:val="3"/>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Total</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546</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635</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1,027</w:t>
            </w:r>
          </w:p>
        </w:tc>
      </w:tr>
      <w:tr>
        <w:trPr>
          <w:trHeight w:val="20"/>
        </w:trPr>
        <w:tc>
          <w:tcPr>
            <w:tcW w:w="50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NOTE 7:</w:t>
            </w:r>
          </w:p>
        </w:tc>
        <w:tc>
          <w:tcPr>
            <w:tcW w:w="330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INTANGIBLE ASSETS, NET</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Customer</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4"/>
              </w:rPr>
              <w:t>Software</w:t>
            </w:r>
          </w:p>
        </w:tc>
        <w:tc>
          <w:tcPr>
            <w:tcW w:w="160" w:type="dxa"/>
            <w:vAlign w:val="bottom"/>
            <w:gridSpan w:val="2"/>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2"/>
              </w:rPr>
              <w:t>Trademarks</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85"/>
              </w:rPr>
              <w:t>relationships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5"/>
              </w:rPr>
              <w:t>Technology</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Others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4"/>
              </w:rPr>
              <w:t>Goodwill</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w:t>
            </w:r>
          </w:p>
        </w:tc>
      </w:tr>
      <w:tr>
        <w:trPr>
          <w:trHeight w:val="27"/>
        </w:trPr>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gridSpan w:val="2"/>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8"/>
                <w:szCs w:val="18"/>
                <w:b w:val="1"/>
                <w:bCs w:val="1"/>
                <w:color w:val="auto"/>
              </w:rPr>
              <w:t>USD thousands</w:t>
            </w:r>
          </w:p>
        </w:tc>
        <w:tc>
          <w:tcPr>
            <w:tcW w:w="7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line="201" w:lineRule="exact"/>
              <w:rPr>
                <w:sz w:val="20"/>
                <w:szCs w:val="20"/>
                <w:color w:val="auto"/>
              </w:rPr>
            </w:pPr>
            <w:r>
              <w:rPr>
                <w:rFonts w:ascii="Arial" w:cs="Arial" w:eastAsia="Arial" w:hAnsi="Arial"/>
                <w:sz w:val="18"/>
                <w:szCs w:val="18"/>
                <w:color w:val="auto"/>
              </w:rPr>
              <w:t>Balance as of January 1,</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60" w:type="dxa"/>
            <w:vAlign w:val="bottom"/>
          </w:tcPr>
          <w:p>
            <w:pPr>
              <w:spacing w:after="0"/>
              <w:rPr>
                <w:sz w:val="20"/>
                <w:szCs w:val="20"/>
                <w:color w:val="auto"/>
              </w:rPr>
            </w:pPr>
          </w:p>
        </w:tc>
        <w:tc>
          <w:tcPr>
            <w:tcW w:w="2340" w:type="dxa"/>
            <w:vAlign w:val="bottom"/>
            <w:gridSpan w:val="2"/>
          </w:tcPr>
          <w:p>
            <w:pPr>
              <w:ind w:left="280"/>
              <w:spacing w:after="0"/>
              <w:rPr>
                <w:sz w:val="20"/>
                <w:szCs w:val="20"/>
                <w:color w:val="auto"/>
              </w:rPr>
            </w:pPr>
            <w:r>
              <w:rPr>
                <w:rFonts w:ascii="Arial" w:cs="Arial" w:eastAsia="Arial" w:hAnsi="Arial"/>
                <w:sz w:val="18"/>
                <w:szCs w:val="18"/>
                <w:color w:val="auto"/>
              </w:rPr>
              <w:t>2020</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19,237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25,683</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37,719</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45,087</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1,044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133,703</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262,473</w:t>
            </w: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97"/>
              </w:rPr>
              <w:t>Exchange rate differences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2,496</w:t>
            </w: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Additions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4,858</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4,858</w:t>
            </w:r>
          </w:p>
        </w:tc>
      </w:tr>
      <w:tr>
        <w:trPr>
          <w:trHeight w:val="223"/>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Business combinations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10,427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10,054</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1,658</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17,878</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41,085</w:t>
            </w:r>
          </w:p>
        </w:tc>
      </w:tr>
      <w:tr>
        <w:trPr>
          <w:trHeight w:val="202"/>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Balance as of December</w:t>
            </w:r>
          </w:p>
        </w:tc>
        <w:tc>
          <w:tcPr>
            <w:tcW w:w="8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30"/>
        </w:trPr>
        <w:tc>
          <w:tcPr>
            <w:tcW w:w="860" w:type="dxa"/>
            <w:vAlign w:val="bottom"/>
          </w:tcPr>
          <w:p>
            <w:pPr>
              <w:spacing w:after="0"/>
              <w:rPr>
                <w:sz w:val="20"/>
                <w:szCs w:val="20"/>
                <w:color w:val="auto"/>
              </w:rPr>
            </w:pPr>
          </w:p>
        </w:tc>
        <w:tc>
          <w:tcPr>
            <w:tcW w:w="2340" w:type="dxa"/>
            <w:vAlign w:val="bottom"/>
            <w:gridSpan w:val="2"/>
          </w:tcPr>
          <w:p>
            <w:pPr>
              <w:ind w:left="280"/>
              <w:spacing w:after="0"/>
              <w:rPr>
                <w:sz w:val="20"/>
                <w:szCs w:val="20"/>
                <w:color w:val="auto"/>
              </w:rPr>
            </w:pPr>
            <w:r>
              <w:rPr>
                <w:rFonts w:ascii="Arial" w:cs="Arial" w:eastAsia="Arial" w:hAnsi="Arial"/>
                <w:sz w:val="18"/>
                <w:szCs w:val="18"/>
                <w:color w:val="auto"/>
              </w:rPr>
              <w:t>31, 2020</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24,095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36,639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48,340</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46,818</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2,159</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152,861</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310,912</w:t>
            </w: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97"/>
              </w:rPr>
              <w:t>Exchange rate differences</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(2,192)</w:t>
            </w: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Additions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4,966</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4,966</w:t>
            </w: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(5,084)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(5,084)</w:t>
            </w:r>
          </w:p>
        </w:tc>
      </w:tr>
      <w:tr>
        <w:trPr>
          <w:trHeight w:val="202"/>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line="201" w:lineRule="exact"/>
              <w:rPr>
                <w:sz w:val="20"/>
                <w:szCs w:val="20"/>
                <w:color w:val="auto"/>
              </w:rPr>
            </w:pPr>
            <w:r>
              <w:rPr>
                <w:rFonts w:ascii="Arial" w:cs="Arial" w:eastAsia="Arial" w:hAnsi="Arial"/>
                <w:sz w:val="18"/>
                <w:szCs w:val="18"/>
                <w:color w:val="auto"/>
              </w:rPr>
              <w:t>Business combinations</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(see Note 20)</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735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6,540</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5,189</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12,464</w:t>
            </w: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line="201" w:lineRule="exact"/>
              <w:rPr>
                <w:sz w:val="20"/>
                <w:szCs w:val="20"/>
                <w:color w:val="auto"/>
              </w:rPr>
            </w:pPr>
            <w:r>
              <w:rPr>
                <w:rFonts w:ascii="Arial" w:cs="Arial" w:eastAsia="Arial" w:hAnsi="Arial"/>
                <w:sz w:val="18"/>
                <w:szCs w:val="18"/>
                <w:color w:val="auto"/>
              </w:rPr>
              <w:t>Balance as of December</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60" w:type="dxa"/>
            <w:vAlign w:val="bottom"/>
          </w:tcPr>
          <w:p>
            <w:pPr>
              <w:spacing w:after="0"/>
              <w:rPr>
                <w:sz w:val="20"/>
                <w:szCs w:val="20"/>
                <w:color w:val="auto"/>
              </w:rPr>
            </w:pPr>
          </w:p>
        </w:tc>
        <w:tc>
          <w:tcPr>
            <w:tcW w:w="2340" w:type="dxa"/>
            <w:vAlign w:val="bottom"/>
            <w:gridSpan w:val="2"/>
          </w:tcPr>
          <w:p>
            <w:pPr>
              <w:ind w:left="280"/>
              <w:spacing w:after="0"/>
              <w:rPr>
                <w:sz w:val="20"/>
                <w:szCs w:val="20"/>
                <w:color w:val="auto"/>
              </w:rPr>
            </w:pPr>
            <w:r>
              <w:rPr>
                <w:rFonts w:ascii="Arial" w:cs="Arial" w:eastAsia="Arial" w:hAnsi="Arial"/>
                <w:sz w:val="18"/>
                <w:szCs w:val="18"/>
                <w:color w:val="auto"/>
              </w:rPr>
              <w:t>31, 2021</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24,687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36,367</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47,966</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53,192</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2,142</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156,712</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321,066</w:t>
            </w: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b w:val="1"/>
                <w:bCs w:val="1"/>
                <w:color w:val="auto"/>
              </w:rPr>
              <w:t>Amortization</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as of January 1,</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9,232</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11,458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7,857</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22,597</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52,188</w:t>
            </w: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w w:val="97"/>
              </w:rPr>
              <w:t>Exchange rate differences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(162)</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395</w:t>
            </w:r>
          </w:p>
        </w:tc>
      </w:tr>
      <w:tr>
        <w:trPr>
          <w:trHeight w:val="223"/>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5,214</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8,976</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9,053</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9,598</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33,829</w:t>
            </w:r>
          </w:p>
        </w:tc>
      </w:tr>
      <w:tr>
        <w:trPr>
          <w:trHeight w:val="202"/>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Balance as of December</w:t>
            </w:r>
          </w:p>
        </w:tc>
        <w:tc>
          <w:tcPr>
            <w:tcW w:w="8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30"/>
        </w:trPr>
        <w:tc>
          <w:tcPr>
            <w:tcW w:w="860" w:type="dxa"/>
            <w:vAlign w:val="bottom"/>
          </w:tcPr>
          <w:p>
            <w:pPr>
              <w:spacing w:after="0"/>
              <w:rPr>
                <w:sz w:val="20"/>
                <w:szCs w:val="20"/>
                <w:color w:val="auto"/>
              </w:rPr>
            </w:pPr>
          </w:p>
        </w:tc>
        <w:tc>
          <w:tcPr>
            <w:tcW w:w="2340" w:type="dxa"/>
            <w:vAlign w:val="bottom"/>
            <w:gridSpan w:val="2"/>
          </w:tcPr>
          <w:p>
            <w:pPr>
              <w:ind w:left="280"/>
              <w:spacing w:after="0"/>
              <w:rPr>
                <w:sz w:val="20"/>
                <w:szCs w:val="20"/>
                <w:color w:val="auto"/>
              </w:rPr>
            </w:pPr>
            <w:r>
              <w:rPr>
                <w:rFonts w:ascii="Arial" w:cs="Arial" w:eastAsia="Arial" w:hAnsi="Arial"/>
                <w:sz w:val="18"/>
                <w:szCs w:val="18"/>
                <w:color w:val="auto"/>
              </w:rPr>
              <w:t>31, 2020</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14,446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20,636</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17,195</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32,033</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2,102</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86,412</w:t>
            </w: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97"/>
              </w:rPr>
              <w:t>Exchange rate differences</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w:t>
            </w: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Additions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5,522</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9,320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9,142</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7,949</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31,994</w:t>
            </w:r>
          </w:p>
        </w:tc>
      </w:tr>
      <w:tr>
        <w:trPr>
          <w:trHeight w:val="223"/>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(5,084)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(5,084)</w:t>
            </w: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2"/>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as of December</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71"/>
        </w:trPr>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31, 2021</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14,876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29,786</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26,081</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39,961</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112,846</w:t>
            </w:r>
          </w:p>
        </w:tc>
      </w:tr>
      <w:tr>
        <w:trPr>
          <w:trHeight w:val="209"/>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amounts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w w:val="99"/>
              </w:rPr>
              <w:t>As of December 31, 2020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9,649</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16,003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14,785</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152,861</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224,500</w:t>
            </w: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As of December 31, 2021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9,811</w:t>
            </w: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21,885</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13,231</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156,712</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208,220</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Capitalized development costs</w:t>
      </w:r>
    </w:p>
    <w:p>
      <w:pPr>
        <w:spacing w:after="0" w:line="229"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Development costs capitalized in the period amounted to USD 4,933 thousand (2020: USD 4,816 thousand) and were classified under software.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INTANGIBLE ASSETS, NET (Cont.)</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Impairment testing for intangible assets</w:t>
      </w:r>
    </w:p>
    <w:p>
      <w:pPr>
        <w:spacing w:after="0" w:line="229" w:lineRule="exact"/>
        <w:rPr>
          <w:sz w:val="20"/>
          <w:szCs w:val="20"/>
          <w:color w:val="auto"/>
        </w:rPr>
      </w:pPr>
    </w:p>
    <w:p>
      <w:pPr>
        <w:jc w:val="both"/>
        <w:ind w:left="1020"/>
        <w:spacing w:after="0" w:line="308" w:lineRule="auto"/>
        <w:rPr>
          <w:sz w:val="20"/>
          <w:szCs w:val="20"/>
          <w:color w:val="auto"/>
        </w:rPr>
      </w:pPr>
      <w:r>
        <w:rPr>
          <w:rFonts w:ascii="Arial" w:cs="Arial" w:eastAsia="Arial" w:hAnsi="Arial"/>
          <w:sz w:val="17"/>
          <w:szCs w:val="17"/>
          <w:color w:val="auto"/>
        </w:rPr>
        <w:t>The Company's qualitative assessment during the years ended December 31, 2021 and December 31, 2020, did not indicate that it is more likely than not that the fair value of its intangible assets, and other long-lived assets is less than the aggregate carrying amount.</w:t>
      </w:r>
    </w:p>
    <w:p>
      <w:pPr>
        <w:spacing w:after="0" w:line="146" w:lineRule="exact"/>
        <w:rPr>
          <w:sz w:val="20"/>
          <w:szCs w:val="20"/>
          <w:color w:val="auto"/>
        </w:rPr>
      </w:pPr>
    </w:p>
    <w:p>
      <w:pPr>
        <w:jc w:val="both"/>
        <w:ind w:left="1020"/>
        <w:spacing w:after="0" w:line="263" w:lineRule="auto"/>
        <w:rPr>
          <w:sz w:val="20"/>
          <w:szCs w:val="20"/>
          <w:color w:val="auto"/>
        </w:rPr>
      </w:pPr>
      <w:r>
        <w:rPr>
          <w:rFonts w:ascii="Arial" w:cs="Arial" w:eastAsia="Arial" w:hAnsi="Arial"/>
          <w:sz w:val="18"/>
          <w:szCs w:val="18"/>
          <w:color w:val="auto"/>
        </w:rPr>
        <w:t>As of December 31, 2021, and December 31, 2020, the recoverable amount of goodwill was based on fair value less cost of disposal. The fair value less costs of disposals was estimated according to quoted price of the Company’s ordinary shares. The estimated recoverable amount was higher than the carrying amount, and therefore there was no need for impairment.</w:t>
      </w:r>
    </w:p>
    <w:p>
      <w:pPr>
        <w:spacing w:after="0" w:line="184" w:lineRule="exact"/>
        <w:rPr>
          <w:sz w:val="20"/>
          <w:szCs w:val="20"/>
          <w:color w:val="auto"/>
        </w:rPr>
      </w:pPr>
    </w:p>
    <w:p>
      <w:pPr>
        <w:jc w:val="both"/>
        <w:ind w:left="1020"/>
        <w:spacing w:after="0" w:line="259" w:lineRule="auto"/>
        <w:rPr>
          <w:sz w:val="20"/>
          <w:szCs w:val="20"/>
          <w:color w:val="auto"/>
        </w:rPr>
      </w:pPr>
      <w:r>
        <w:rPr>
          <w:rFonts w:ascii="Arial" w:cs="Arial" w:eastAsia="Arial" w:hAnsi="Arial"/>
          <w:sz w:val="18"/>
          <w:szCs w:val="18"/>
          <w:color w:val="auto"/>
        </w:rPr>
        <w:t>In 2020, following the acquisition of Unruly, the Company examined the useful life of intangible assets acquired in the past and determined to change the estimated economic life of part of the trademark’s asset from 4.75 years to 2.75 years. The effects of the aforesaid change on amortization expenses for the year ended December 31, 2020, 2021, 2022 and 2023 is USD 1,512 thousand, USD 3,024 thousand, (USD 2,268) thousand and (USD 2,268) thousand,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NOTE 8:</w:t>
            </w:r>
          </w:p>
        </w:tc>
        <w:tc>
          <w:tcPr>
            <w:tcW w:w="4140" w:type="dxa"/>
            <w:vAlign w:val="bottom"/>
            <w:gridSpan w:val="2"/>
          </w:tcPr>
          <w:p>
            <w:pPr>
              <w:ind w:left="160"/>
              <w:spacing w:after="0"/>
              <w:rPr>
                <w:sz w:val="20"/>
                <w:szCs w:val="20"/>
                <w:color w:val="auto"/>
              </w:rPr>
            </w:pPr>
            <w:r>
              <w:rPr>
                <w:rFonts w:ascii="Arial" w:cs="Arial" w:eastAsia="Arial" w:hAnsi="Arial"/>
                <w:sz w:val="18"/>
                <w:szCs w:val="18"/>
                <w:b w:val="1"/>
                <w:bCs w:val="1"/>
                <w:color w:val="auto"/>
              </w:rPr>
              <w:t>TRADE AND OTHER RECEIVABLES</w:t>
            </w:r>
          </w:p>
        </w:tc>
        <w:tc>
          <w:tcPr>
            <w:tcW w:w="2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9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December 31</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USD</w:t>
            </w:r>
          </w:p>
        </w:tc>
        <w:tc>
          <w:tcPr>
            <w:tcW w:w="10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w w:val="70"/>
              </w:rPr>
              <w:t>thousands</w:t>
            </w: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Trade receivables:</w:t>
            </w:r>
          </w:p>
        </w:tc>
        <w:tc>
          <w:tcPr>
            <w:tcW w:w="2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Trade receivables</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178,933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162,580</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debts</w:t>
            </w:r>
          </w:p>
        </w:tc>
        <w:tc>
          <w:tcPr>
            <w:tcW w:w="27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(13,870)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(9,036)</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165,063</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153,544</w:t>
            </w: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receivables:</w:t>
            </w:r>
          </w:p>
        </w:tc>
        <w:tc>
          <w:tcPr>
            <w:tcW w:w="2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Prepaid expenses</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13,110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14,053</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Loan to third party</w:t>
            </w:r>
          </w:p>
        </w:tc>
        <w:tc>
          <w:tcPr>
            <w:tcW w:w="3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689</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Institutions</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1,050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1,165</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Pledged deposits</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872</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w:t>
            </w:r>
          </w:p>
        </w:tc>
        <w:tc>
          <w:tcPr>
            <w:tcW w:w="276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949</w:t>
            </w:r>
          </w:p>
        </w:tc>
        <w:tc>
          <w:tcPr>
            <w:tcW w:w="1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640" w:type="dxa"/>
            <w:vAlign w:val="bottom"/>
            <w:gridSpan w:val="3"/>
          </w:tcPr>
          <w:p>
            <w:pPr>
              <w:jc w:val="right"/>
              <w:spacing w:after="0"/>
              <w:rPr>
                <w:sz w:val="20"/>
                <w:szCs w:val="20"/>
                <w:color w:val="auto"/>
              </w:rPr>
            </w:pPr>
            <w:r>
              <w:rPr>
                <w:rFonts w:ascii="Arial" w:cs="Arial" w:eastAsia="Arial" w:hAnsi="Arial"/>
                <w:sz w:val="18"/>
                <w:szCs w:val="18"/>
                <w:color w:val="auto"/>
              </w:rPr>
              <w:t>18,236</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17,615</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rPr>
                <w:sz w:val="20"/>
                <w:szCs w:val="20"/>
                <w:color w:val="auto"/>
              </w:rPr>
            </w:pPr>
            <w:r>
              <w:rPr>
                <w:rFonts w:ascii="Arial" w:cs="Arial" w:eastAsia="Arial" w:hAnsi="Arial"/>
                <w:sz w:val="18"/>
                <w:szCs w:val="18"/>
                <w:b w:val="1"/>
                <w:bCs w:val="1"/>
                <w:color w:val="auto"/>
              </w:rPr>
              <w:t>NOTE 9:</w:t>
            </w:r>
          </w:p>
        </w:tc>
        <w:tc>
          <w:tcPr>
            <w:tcW w:w="41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TRADE AND OTHER PAYABLES</w:t>
            </w:r>
          </w:p>
        </w:tc>
        <w:tc>
          <w:tcPr>
            <w:tcW w:w="2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60" w:type="dxa"/>
            <w:vAlign w:val="bottom"/>
            <w:vMerge w:val="continue"/>
          </w:tcPr>
          <w:p>
            <w:pPr>
              <w:spacing w:after="0"/>
              <w:rPr>
                <w:sz w:val="24"/>
                <w:szCs w:val="24"/>
                <w:color w:val="auto"/>
              </w:rPr>
            </w:pPr>
          </w:p>
        </w:tc>
        <w:tc>
          <w:tcPr>
            <w:tcW w:w="4140" w:type="dxa"/>
            <w:vAlign w:val="bottom"/>
            <w:gridSpan w:val="2"/>
            <w:vMerge w:val="continue"/>
          </w:tcPr>
          <w:p>
            <w:pPr>
              <w:spacing w:after="0"/>
              <w:rPr>
                <w:sz w:val="24"/>
                <w:szCs w:val="24"/>
                <w:color w:val="auto"/>
              </w:rPr>
            </w:pP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9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December 31</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USD</w:t>
            </w:r>
          </w:p>
        </w:tc>
        <w:tc>
          <w:tcPr>
            <w:tcW w:w="10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w w:val="70"/>
              </w:rPr>
              <w:t>thousands</w:t>
            </w: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6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161,812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125,863</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payables:</w:t>
            </w:r>
          </w:p>
        </w:tc>
        <w:tc>
          <w:tcPr>
            <w:tcW w:w="2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6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13,406</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Wages, salaries and related expenses</w:t>
            </w:r>
          </w:p>
        </w:tc>
        <w:tc>
          <w:tcPr>
            <w:tcW w:w="3640" w:type="dxa"/>
            <w:vAlign w:val="bottom"/>
            <w:gridSpan w:val="3"/>
          </w:tcPr>
          <w:p>
            <w:pPr>
              <w:jc w:val="right"/>
              <w:spacing w:after="0"/>
              <w:rPr>
                <w:sz w:val="20"/>
                <w:szCs w:val="20"/>
                <w:color w:val="auto"/>
              </w:rPr>
            </w:pPr>
            <w:r>
              <w:rPr>
                <w:rFonts w:ascii="Arial" w:cs="Arial" w:eastAsia="Arial" w:hAnsi="Arial"/>
                <w:sz w:val="18"/>
                <w:szCs w:val="18"/>
                <w:color w:val="auto"/>
              </w:rPr>
              <w:t>16,406</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13,853</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Related Parties</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2,746</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Provision for vacation</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1,003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554</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Institutions</w:t>
            </w:r>
          </w:p>
        </w:tc>
        <w:tc>
          <w:tcPr>
            <w:tcW w:w="3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1,112</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Ad spend liability</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7,729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5,987</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Liability for options on non- controlling interest</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2,903</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Others</w:t>
            </w:r>
          </w:p>
        </w:tc>
        <w:tc>
          <w:tcPr>
            <w:tcW w:w="27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6,561</w:t>
            </w: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3640" w:type="dxa"/>
            <w:vAlign w:val="bottom"/>
            <w:gridSpan w:val="3"/>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47,122</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780" w:type="dxa"/>
            <w:vAlign w:val="bottom"/>
            <w:gridSpan w:val="4"/>
          </w:tcPr>
          <w:p>
            <w:pPr>
              <w:jc w:val="right"/>
              <w:ind w:right="2940"/>
              <w:spacing w:after="0"/>
              <w:rPr>
                <w:sz w:val="20"/>
                <w:szCs w:val="20"/>
                <w:color w:val="auto"/>
              </w:rPr>
            </w:pPr>
            <w:r>
              <w:rPr>
                <w:rFonts w:ascii="Arial" w:cs="Arial" w:eastAsia="Arial" w:hAnsi="Arial"/>
                <w:sz w:val="18"/>
                <w:szCs w:val="18"/>
                <w:color w:val="auto"/>
              </w:rPr>
              <w:t>F - 40</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8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860" w:type="dxa"/>
            <w:vAlign w:val="bottom"/>
            <w:tcBorders>
              <w:bottom w:val="single" w:sz="8" w:color="auto"/>
            </w:tcBorders>
          </w:tcPr>
          <w:p>
            <w:pPr>
              <w:spacing w:after="0"/>
              <w:rPr>
                <w:sz w:val="5"/>
                <w:szCs w:val="5"/>
                <w:color w:val="auto"/>
              </w:rPr>
            </w:pPr>
          </w:p>
        </w:tc>
        <w:tc>
          <w:tcPr>
            <w:tcW w:w="27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97"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CASH AND CASH EQUIVALENTS</w:t>
      </w:r>
    </w:p>
    <w:p>
      <w:pPr>
        <w:spacing w:after="0" w:line="225"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17145</wp:posOffset>
            </wp:positionV>
            <wp:extent cx="119189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1191895" cy="17145"/>
                    </a:xfrm>
                    <a:prstGeom prst="rect">
                      <a:avLst/>
                    </a:prstGeom>
                    <a:noFill/>
                  </pic:spPr>
                </pic:pic>
              </a:graphicData>
            </a:graphic>
          </wp:anchor>
        </w:drawing>
      </w:r>
    </w:p>
    <w:p>
      <w:pPr>
        <w:spacing w:after="0" w:line="16" w:lineRule="exact"/>
        <w:rPr>
          <w:sz w:val="20"/>
          <w:szCs w:val="20"/>
          <w:color w:val="auto"/>
        </w:rPr>
      </w:pPr>
    </w:p>
    <w:p>
      <w:pPr>
        <w:jc w:val="center"/>
        <w:ind w:left="7980"/>
        <w:spacing w:after="0"/>
        <w:tabs>
          <w:tab w:leader="none" w:pos="64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17145</wp:posOffset>
            </wp:positionV>
            <wp:extent cx="119189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1191895" cy="17145"/>
                    </a:xfrm>
                    <a:prstGeom prst="rect">
                      <a:avLst/>
                    </a:prstGeom>
                    <a:noFill/>
                  </pic:spPr>
                </pic:pic>
              </a:graphicData>
            </a:graphic>
          </wp:anchor>
        </w:drawing>
      </w:r>
    </w:p>
    <w:p>
      <w:pPr>
        <w:spacing w:after="0" w:line="16"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USD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17145</wp:posOffset>
            </wp:positionV>
            <wp:extent cx="119189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1191895" cy="17145"/>
                    </a:xfrm>
                    <a:prstGeom prst="rect">
                      <a:avLst/>
                    </a:prstGeom>
                    <a:noFill/>
                  </pic:spPr>
                </pic:pic>
              </a:graphicData>
            </a:graphic>
          </wp:anchor>
        </w:drawing>
      </w: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77,537</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44,825</w:t>
            </w: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Bank deposits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290,180</w:t>
            </w: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52,638</w:t>
            </w:r>
          </w:p>
        </w:tc>
        <w:tc>
          <w:tcPr>
            <w:tcW w:w="80" w:type="dxa"/>
            <w:vAlign w:val="bottom"/>
          </w:tcPr>
          <w:p>
            <w:pPr>
              <w:spacing w:after="0"/>
              <w:rPr>
                <w:sz w:val="19"/>
                <w:szCs w:val="19"/>
                <w:color w:val="auto"/>
              </w:rPr>
            </w:pPr>
          </w:p>
        </w:tc>
      </w:tr>
      <w:tr>
        <w:trPr>
          <w:trHeight w:val="216"/>
        </w:trPr>
        <w:tc>
          <w:tcPr>
            <w:tcW w:w="6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tcPr>
          <w:p>
            <w:pPr>
              <w:jc w:val="right"/>
              <w:spacing w:after="0"/>
              <w:rPr>
                <w:sz w:val="20"/>
                <w:szCs w:val="20"/>
                <w:color w:val="auto"/>
              </w:rPr>
            </w:pPr>
            <w:r>
              <w:rPr>
                <w:rFonts w:ascii="Arial" w:cs="Arial" w:eastAsia="Arial" w:hAnsi="Arial"/>
                <w:sz w:val="18"/>
                <w:szCs w:val="18"/>
                <w:color w:val="auto"/>
              </w:rPr>
              <w:t>367,717</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97,463</w:t>
            </w:r>
          </w:p>
        </w:tc>
      </w:tr>
      <w:tr>
        <w:trPr>
          <w:trHeight w:val="20"/>
        </w:trPr>
        <w:tc>
          <w:tcPr>
            <w:tcW w:w="6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Group’s exposure to credit, and currency risks are disclosed in Note 18 on financial instruments.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2"/>
          </w:tcPr>
          <w:p>
            <w:pPr>
              <w:jc w:val="right"/>
              <w:ind w:right="4650"/>
              <w:spacing w:after="0"/>
              <w:rPr>
                <w:sz w:val="20"/>
                <w:szCs w:val="20"/>
                <w:color w:val="auto"/>
              </w:rPr>
            </w:pPr>
            <w:r>
              <w:rPr>
                <w:rFonts w:ascii="Arial" w:cs="Arial" w:eastAsia="Arial" w:hAnsi="Arial"/>
                <w:sz w:val="18"/>
                <w:szCs w:val="18"/>
                <w:b w:val="1"/>
                <w:bCs w:val="1"/>
                <w:color w:val="auto"/>
              </w:rPr>
              <w:t>NOTE 11:   REVENUE</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9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Year ended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1"/>
        </w:trPr>
        <w:tc>
          <w:tcPr>
            <w:tcW w:w="9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89"/>
              </w:rPr>
              <w:t>December 31</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98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76"/>
              </w:rPr>
              <w:t>USD thousands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180" w:type="dxa"/>
            <w:vAlign w:val="bottom"/>
            <w:gridSpan w:val="3"/>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5680" w:type="dxa"/>
            <w:vAlign w:val="bottom"/>
            <w:shd w:val="clear" w:color="auto" w:fill="CCEEFF"/>
          </w:tcPr>
          <w:p>
            <w:pPr>
              <w:jc w:val="right"/>
              <w:ind w:right="4290"/>
              <w:spacing w:after="0"/>
              <w:rPr>
                <w:sz w:val="20"/>
                <w:szCs w:val="20"/>
                <w:color w:val="auto"/>
              </w:rPr>
            </w:pPr>
            <w:r>
              <w:rPr>
                <w:rFonts w:ascii="Arial" w:cs="Arial" w:eastAsia="Arial" w:hAnsi="Arial"/>
                <w:sz w:val="18"/>
                <w:szCs w:val="18"/>
                <w:color w:val="auto"/>
                <w:w w:val="92"/>
              </w:rPr>
              <w:t>Programmatic (1)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266,616</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161,625</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241,464</w:t>
            </w:r>
          </w:p>
        </w:tc>
      </w:tr>
      <w:tr>
        <w:trPr>
          <w:trHeight w:val="223"/>
        </w:trPr>
        <w:tc>
          <w:tcPr>
            <w:tcW w:w="980" w:type="dxa"/>
            <w:vAlign w:val="bottom"/>
          </w:tcPr>
          <w:p>
            <w:pPr>
              <w:spacing w:after="0"/>
              <w:rPr>
                <w:sz w:val="19"/>
                <w:szCs w:val="19"/>
                <w:color w:val="auto"/>
              </w:rPr>
            </w:pPr>
          </w:p>
        </w:tc>
        <w:tc>
          <w:tcPr>
            <w:tcW w:w="5680" w:type="dxa"/>
            <w:vAlign w:val="bottom"/>
          </w:tcPr>
          <w:p>
            <w:pPr>
              <w:jc w:val="right"/>
              <w:ind w:right="4630"/>
              <w:spacing w:after="0"/>
              <w:rPr>
                <w:sz w:val="20"/>
                <w:szCs w:val="20"/>
                <w:color w:val="auto"/>
              </w:rPr>
            </w:pPr>
            <w:r>
              <w:rPr>
                <w:rFonts w:ascii="Arial" w:cs="Arial" w:eastAsia="Arial" w:hAnsi="Arial"/>
                <w:sz w:val="18"/>
                <w:szCs w:val="18"/>
                <w:color w:val="auto"/>
                <w:w w:val="91"/>
              </w:rPr>
              <w:t>Performance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75,329</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50,295</w:t>
            </w:r>
          </w:p>
        </w:tc>
        <w:tc>
          <w:tcPr>
            <w:tcW w:w="1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84,296</w:t>
            </w:r>
          </w:p>
        </w:tc>
      </w:tr>
      <w:tr>
        <w:trPr>
          <w:trHeight w:val="216"/>
        </w:trPr>
        <w:tc>
          <w:tcPr>
            <w:tcW w:w="98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341,945</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211,920</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325,760</w:t>
            </w:r>
          </w:p>
        </w:tc>
      </w:tr>
      <w:tr>
        <w:trPr>
          <w:trHeight w:val="20"/>
        </w:trPr>
        <w:tc>
          <w:tcPr>
            <w:tcW w:w="9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20" w:hanging="500"/>
        <w:spacing w:after="0" w:line="258" w:lineRule="auto"/>
        <w:tabs>
          <w:tab w:leader="none" w:pos="15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2021 and 2020 programmatic revenue are reported on a net basis and in 2019 on a gross basis, and performance revenue reported on a gross basis for all years presented (see Note 3k).</w:t>
      </w:r>
    </w:p>
    <w:p>
      <w:pPr>
        <w:spacing w:after="0" w:line="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Media cost amounted to USD 117,301 thousand in the year ended December 31, 2019.</w:t>
      </w:r>
    </w:p>
    <w:p>
      <w:pPr>
        <w:spacing w:after="0" w:line="211"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For the year ended December 31, 2021, one buyer represents 13.6% of revenue. For the years ended December 31, 2020 and 2019, no individual buyer accounted for more than 10% of revenue.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NOTE 12:   COST OF REVENUE</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9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Year ended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1"/>
        </w:trPr>
        <w:tc>
          <w:tcPr>
            <w:tcW w:w="9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8"/>
              </w:rPr>
              <w:t>December 31</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98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76"/>
              </w:rPr>
              <w:t>USD thousands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180" w:type="dxa"/>
            <w:vAlign w:val="bottom"/>
            <w:gridSpan w:val="3"/>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5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Programmatic (1)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31,572</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31,918</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142,676</w:t>
            </w:r>
          </w:p>
        </w:tc>
      </w:tr>
      <w:tr>
        <w:trPr>
          <w:trHeight w:val="223"/>
        </w:trPr>
        <w:tc>
          <w:tcPr>
            <w:tcW w:w="980" w:type="dxa"/>
            <w:vAlign w:val="bottom"/>
          </w:tcPr>
          <w:p>
            <w:pPr>
              <w:spacing w:after="0"/>
              <w:rPr>
                <w:sz w:val="19"/>
                <w:szCs w:val="19"/>
                <w:color w:val="auto"/>
              </w:rPr>
            </w:pPr>
          </w:p>
        </w:tc>
        <w:tc>
          <w:tcPr>
            <w:tcW w:w="5680" w:type="dxa"/>
            <w:vAlign w:val="bottom"/>
          </w:tcPr>
          <w:p>
            <w:pPr>
              <w:ind w:left="40"/>
              <w:spacing w:after="0"/>
              <w:rPr>
                <w:sz w:val="20"/>
                <w:szCs w:val="20"/>
                <w:color w:val="auto"/>
              </w:rPr>
            </w:pPr>
            <w:r>
              <w:rPr>
                <w:rFonts w:ascii="Arial" w:cs="Arial" w:eastAsia="Arial" w:hAnsi="Arial"/>
                <w:sz w:val="18"/>
                <w:szCs w:val="18"/>
                <w:color w:val="auto"/>
              </w:rPr>
              <w:t>Performance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40,079</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27,889</w:t>
            </w:r>
          </w:p>
        </w:tc>
        <w:tc>
          <w:tcPr>
            <w:tcW w:w="1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44,570</w:t>
            </w:r>
          </w:p>
        </w:tc>
      </w:tr>
      <w:tr>
        <w:trPr>
          <w:trHeight w:val="216"/>
        </w:trPr>
        <w:tc>
          <w:tcPr>
            <w:tcW w:w="98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568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71,651</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59,807</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187,246</w:t>
            </w:r>
          </w:p>
        </w:tc>
      </w:tr>
      <w:tr>
        <w:trPr>
          <w:trHeight w:val="20"/>
        </w:trPr>
        <w:tc>
          <w:tcPr>
            <w:tcW w:w="9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20" w:hanging="500"/>
        <w:spacing w:after="0" w:line="258" w:lineRule="auto"/>
        <w:tabs>
          <w:tab w:leader="none" w:pos="1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2021 and 2020 programmatic revenue are reported on a net basis and in 2019 on a gross basis, and performance revenue reported on a gross basis for all years presented (see Note 3k).</w:t>
      </w:r>
    </w:p>
    <w:p>
      <w:pPr>
        <w:spacing w:after="0" w:line="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Media cost amounted to USD 117,301 thousand in the year ended December 31, 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NOTE 13:  GENERAL AND ADMINISTRATIVE EXPENSES</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1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8"/>
              </w:rPr>
              <w:t>Year ended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1"/>
        </w:trPr>
        <w:tc>
          <w:tcPr>
            <w:tcW w:w="114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89"/>
              </w:rPr>
              <w:t>December 31</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71"/>
              </w:rPr>
              <w:t>USD thousands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Wages, salaries and related expenses</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17,755</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15,274</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11,973</w:t>
            </w:r>
          </w:p>
        </w:tc>
      </w:tr>
      <w:tr>
        <w:trPr>
          <w:trHeight w:val="216"/>
        </w:trPr>
        <w:tc>
          <w:tcPr>
            <w:tcW w:w="1140" w:type="dxa"/>
            <w:vAlign w:val="bottom"/>
          </w:tcPr>
          <w:p>
            <w:pPr>
              <w:spacing w:after="0"/>
              <w:rPr>
                <w:sz w:val="18"/>
                <w:szCs w:val="18"/>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Share based compensation</w:t>
            </w:r>
          </w:p>
        </w:tc>
        <w:tc>
          <w:tcPr>
            <w:tcW w:w="900" w:type="dxa"/>
            <w:vAlign w:val="bottom"/>
          </w:tcPr>
          <w:p>
            <w:pPr>
              <w:jc w:val="right"/>
              <w:spacing w:after="0"/>
              <w:rPr>
                <w:sz w:val="20"/>
                <w:szCs w:val="20"/>
                <w:color w:val="auto"/>
              </w:rPr>
            </w:pPr>
            <w:r>
              <w:rPr>
                <w:rFonts w:ascii="Arial" w:cs="Arial" w:eastAsia="Arial" w:hAnsi="Arial"/>
                <w:sz w:val="18"/>
                <w:szCs w:val="18"/>
                <w:color w:val="auto"/>
              </w:rPr>
              <w:t>32,250</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9,420</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14,100</w:t>
            </w:r>
          </w:p>
        </w:tc>
      </w:tr>
      <w:tr>
        <w:trPr>
          <w:trHeight w:val="216"/>
        </w:trPr>
        <w:tc>
          <w:tcPr>
            <w:tcW w:w="1140" w:type="dxa"/>
            <w:vAlign w:val="bottom"/>
          </w:tcPr>
          <w:p>
            <w:pPr>
              <w:spacing w:after="0"/>
              <w:rPr>
                <w:sz w:val="18"/>
                <w:szCs w:val="18"/>
                <w:color w:val="auto"/>
              </w:rPr>
            </w:pPr>
          </w:p>
        </w:tc>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 and office maintenance</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w:t>
            </w:r>
          </w:p>
        </w:tc>
      </w:tr>
      <w:tr>
        <w:trPr>
          <w:trHeight w:val="216"/>
        </w:trPr>
        <w:tc>
          <w:tcPr>
            <w:tcW w:w="1140" w:type="dxa"/>
            <w:vAlign w:val="bottom"/>
          </w:tcPr>
          <w:p>
            <w:pPr>
              <w:spacing w:after="0"/>
              <w:rPr>
                <w:sz w:val="18"/>
                <w:szCs w:val="18"/>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Professional 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7,136</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4,766</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1,282</w:t>
            </w:r>
          </w:p>
        </w:tc>
      </w:tr>
      <w:tr>
        <w:trPr>
          <w:trHeight w:val="216"/>
        </w:trPr>
        <w:tc>
          <w:tcPr>
            <w:tcW w:w="1140" w:type="dxa"/>
            <w:vAlign w:val="bottom"/>
          </w:tcPr>
          <w:p>
            <w:pPr>
              <w:spacing w:after="0"/>
              <w:rPr>
                <w:sz w:val="18"/>
                <w:szCs w:val="18"/>
                <w:color w:val="auto"/>
              </w:rPr>
            </w:pPr>
          </w:p>
        </w:tc>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Doubtful debts</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(1,091)</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3,003</w:t>
            </w:r>
          </w:p>
        </w:tc>
      </w:tr>
      <w:tr>
        <w:trPr>
          <w:trHeight w:val="216"/>
        </w:trPr>
        <w:tc>
          <w:tcPr>
            <w:tcW w:w="1140" w:type="dxa"/>
            <w:vAlign w:val="bottom"/>
          </w:tcPr>
          <w:p>
            <w:pPr>
              <w:spacing w:after="0"/>
              <w:rPr>
                <w:sz w:val="18"/>
                <w:szCs w:val="18"/>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Acquisition costs</w:t>
            </w:r>
          </w:p>
        </w:tc>
        <w:tc>
          <w:tcPr>
            <w:tcW w:w="900" w:type="dxa"/>
            <w:vAlign w:val="bottom"/>
          </w:tcPr>
          <w:p>
            <w:pPr>
              <w:jc w:val="right"/>
              <w:spacing w:after="0"/>
              <w:rPr>
                <w:sz w:val="20"/>
                <w:szCs w:val="20"/>
                <w:color w:val="auto"/>
              </w:rPr>
            </w:pPr>
            <w:r>
              <w:rPr>
                <w:rFonts w:ascii="Arial" w:cs="Arial" w:eastAsia="Arial" w:hAnsi="Arial"/>
                <w:sz w:val="18"/>
                <w:szCs w:val="18"/>
                <w:color w:val="auto"/>
              </w:rPr>
              <w:t>253</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524</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2,840</w:t>
            </w:r>
          </w:p>
        </w:tc>
      </w:tr>
      <w:tr>
        <w:trPr>
          <w:trHeight w:val="223"/>
        </w:trPr>
        <w:tc>
          <w:tcPr>
            <w:tcW w:w="1140" w:type="dxa"/>
            <w:vAlign w:val="bottom"/>
          </w:tcPr>
          <w:p>
            <w:pPr>
              <w:spacing w:after="0"/>
              <w:rPr>
                <w:sz w:val="19"/>
                <w:szCs w:val="19"/>
                <w:color w:val="auto"/>
              </w:rPr>
            </w:pPr>
          </w:p>
        </w:tc>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expenses</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1,268</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1,003</w:t>
            </w:r>
          </w:p>
        </w:tc>
      </w:tr>
      <w:tr>
        <w:trPr>
          <w:trHeight w:val="216"/>
        </w:trPr>
        <w:tc>
          <w:tcPr>
            <w:tcW w:w="1140" w:type="dxa"/>
            <w:vAlign w:val="bottom"/>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114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63,499</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29,678</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34,433</w:t>
            </w:r>
          </w:p>
        </w:tc>
      </w:tr>
      <w:tr>
        <w:trPr>
          <w:trHeight w:val="20"/>
        </w:trPr>
        <w:tc>
          <w:tcPr>
            <w:tcW w:w="1140" w:type="dxa"/>
            <w:vAlign w:val="bottom"/>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426"/>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NOTE 14:  OTHER EXPENSES (INCOME), NET</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2" w:lineRule="exact"/>
        <w:rPr>
          <w:sz w:val="20"/>
          <w:szCs w:val="20"/>
          <w:color w:val="auto"/>
        </w:rPr>
      </w:pPr>
    </w:p>
    <w:p>
      <w:pPr>
        <w:ind w:left="1020" w:right="20"/>
        <w:spacing w:after="0" w:line="277" w:lineRule="auto"/>
        <w:rPr>
          <w:sz w:val="20"/>
          <w:szCs w:val="20"/>
          <w:color w:val="auto"/>
        </w:rPr>
      </w:pPr>
      <w:r>
        <w:rPr>
          <w:rFonts w:ascii="Arial" w:cs="Arial" w:eastAsia="Arial" w:hAnsi="Arial"/>
          <w:sz w:val="18"/>
          <w:szCs w:val="18"/>
          <w:color w:val="auto"/>
        </w:rPr>
        <w:t>During 2019 and 2020, the Company sold a business unit for which it recognized in 2021 a capital gain of USD 982 thousand related to revenue and profit sharing.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NOTE 15:  SHAREHOLDERS’ EQUITY</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500" w:type="dxa"/>
            <w:vAlign w:val="bottom"/>
            <w:gridSpan w:val="2"/>
          </w:tcPr>
          <w:p>
            <w:pPr>
              <w:ind w:left="1020"/>
              <w:spacing w:after="0"/>
              <w:rPr>
                <w:sz w:val="20"/>
                <w:szCs w:val="20"/>
                <w:color w:val="auto"/>
              </w:rPr>
            </w:pPr>
            <w:r>
              <w:rPr>
                <w:rFonts w:ascii="Arial" w:cs="Arial" w:eastAsia="Arial" w:hAnsi="Arial"/>
                <w:sz w:val="18"/>
                <w:szCs w:val="18"/>
                <w:color w:val="auto"/>
              </w:rPr>
              <w:t>Issued and paid-in share capital:</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9"/>
        </w:trPr>
        <w:tc>
          <w:tcPr>
            <w:tcW w:w="11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22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Ordinary Shares</w:t>
            </w:r>
          </w:p>
        </w:tc>
      </w:tr>
      <w:tr>
        <w:trPr>
          <w:trHeight w:val="223"/>
        </w:trPr>
        <w:tc>
          <w:tcPr>
            <w:tcW w:w="114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Number</w:t>
            </w:r>
          </w:p>
        </w:tc>
        <w:tc>
          <w:tcPr>
            <w:tcW w:w="116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w w:val="94"/>
              </w:rPr>
              <w:t>of shares</w:t>
            </w:r>
          </w:p>
        </w:tc>
        <w:tc>
          <w:tcPr>
            <w:tcW w:w="80" w:type="dxa"/>
            <w:vAlign w:val="bottom"/>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133,916,229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124,223,182</w:t>
            </w:r>
          </w:p>
        </w:tc>
      </w:tr>
      <w:tr>
        <w:trPr>
          <w:trHeight w:val="216"/>
        </w:trPr>
        <w:tc>
          <w:tcPr>
            <w:tcW w:w="114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Own shares held by the Group</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(917,998)</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(5,277,220)</w:t>
            </w:r>
          </w:p>
        </w:tc>
      </w:tr>
      <w:tr>
        <w:trPr>
          <w:trHeight w:val="216"/>
        </w:trPr>
        <w:tc>
          <w:tcPr>
            <w:tcW w:w="114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5,564,808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6,444,944</w:t>
            </w:r>
          </w:p>
        </w:tc>
      </w:tr>
      <w:tr>
        <w:trPr>
          <w:trHeight w:val="216"/>
        </w:trPr>
        <w:tc>
          <w:tcPr>
            <w:tcW w:w="114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Issuance of shares in IPO *</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15,568,590</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shares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114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Shares issued in business combination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8,525,323</w:t>
            </w:r>
          </w:p>
        </w:tc>
        <w:tc>
          <w:tcPr>
            <w:tcW w:w="80" w:type="dxa"/>
            <w:vAlign w:val="bottom"/>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Issued and paid-in share capital as of December 31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154,501,629</w:t>
            </w: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133,916,229</w:t>
            </w:r>
          </w:p>
        </w:tc>
        <w:tc>
          <w:tcPr>
            <w:tcW w:w="8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Authorized share capital</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500,000,000</w:t>
            </w: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300,000,000</w:t>
            </w:r>
          </w:p>
        </w:tc>
      </w:tr>
      <w:tr>
        <w:trPr>
          <w:trHeight w:val="21"/>
        </w:trPr>
        <w:tc>
          <w:tcPr>
            <w:tcW w:w="11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right="9100" w:firstLine="9"/>
        <w:spacing w:after="0" w:line="291" w:lineRule="auto"/>
        <w:tabs>
          <w:tab w:leader="none" w:pos="115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See Note 1d ** See Note 20</w:t>
      </w:r>
    </w:p>
    <w:p>
      <w:pPr>
        <w:ind w:left="1020"/>
        <w:spacing w:after="0" w:line="290" w:lineRule="auto"/>
        <w:rPr>
          <w:rFonts w:ascii="Arial" w:cs="Arial" w:eastAsia="Arial" w:hAnsi="Arial"/>
          <w:sz w:val="16"/>
          <w:szCs w:val="16"/>
          <w:color w:val="auto"/>
        </w:rPr>
      </w:pPr>
      <w:r>
        <w:rPr>
          <w:rFonts w:ascii="Arial" w:cs="Arial" w:eastAsia="Arial" w:hAnsi="Arial"/>
          <w:sz w:val="17"/>
          <w:szCs w:val="17"/>
          <w:color w:val="auto"/>
        </w:rPr>
        <w:t>***Following the acquisition of Unruly, the Company issued 8,525,323 shares at a quoted price of GBP 1.51 (USD 1.98) per share to former Unruly shareholders which became admitted to trading on AIM on January 10, 2020 and are subject to an 18-months lock-up.</w:t>
      </w:r>
    </w:p>
    <w:p>
      <w:pPr>
        <w:spacing w:after="0" w:line="16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Rights attached to share:</w:t>
      </w:r>
    </w:p>
    <w:p>
      <w:pPr>
        <w:spacing w:after="0" w:line="225" w:lineRule="exact"/>
        <w:rPr>
          <w:sz w:val="20"/>
          <w:szCs w:val="20"/>
          <w:color w:val="auto"/>
        </w:rPr>
      </w:pPr>
    </w:p>
    <w:p>
      <w:pPr>
        <w:jc w:val="both"/>
        <w:ind w:left="1020" w:right="20"/>
        <w:spacing w:after="0" w:line="277" w:lineRule="auto"/>
        <w:rPr>
          <w:sz w:val="20"/>
          <w:szCs w:val="20"/>
          <w:color w:val="auto"/>
        </w:rPr>
      </w:pPr>
      <w:r>
        <w:rPr>
          <w:rFonts w:ascii="Arial" w:cs="Arial" w:eastAsia="Arial" w:hAnsi="Arial"/>
          <w:sz w:val="18"/>
          <w:szCs w:val="18"/>
          <w:color w:val="auto"/>
        </w:rPr>
        <w:t>The holders of ordinary shares are entitled to receive dividends as declared from time to time and are entitled to one vote per share at general meetings of the Company. All shares rank equally with regard to the Company’s residual assets.</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Own shares acquisition:</w:t>
      </w:r>
    </w:p>
    <w:p>
      <w:pPr>
        <w:spacing w:after="0" w:line="225" w:lineRule="exact"/>
        <w:rPr>
          <w:sz w:val="20"/>
          <w:szCs w:val="20"/>
          <w:color w:val="auto"/>
        </w:rPr>
      </w:pPr>
    </w:p>
    <w:p>
      <w:pPr>
        <w:jc w:val="both"/>
        <w:ind w:left="1020"/>
        <w:spacing w:after="0" w:line="263" w:lineRule="auto"/>
        <w:rPr>
          <w:sz w:val="20"/>
          <w:szCs w:val="20"/>
          <w:color w:val="auto"/>
        </w:rPr>
      </w:pPr>
      <w:r>
        <w:rPr>
          <w:rFonts w:ascii="Arial" w:cs="Arial" w:eastAsia="Arial" w:hAnsi="Arial"/>
          <w:sz w:val="18"/>
          <w:szCs w:val="18"/>
          <w:color w:val="auto"/>
        </w:rPr>
        <w:t>On December 20, 2020, the Board of Directors approved a USD 10 million buyback program. On March 26, 2021, the Board of Directors terminated the buyback program due to the Company’s election to pursue the Proposed Offering, which was completed in the second quarter of 2021 (see Note 1d).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EARNINGS PER SHARE</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Basic earnings per share</w:t>
      </w:r>
    </w:p>
    <w:p>
      <w:pPr>
        <w:spacing w:after="0" w:line="229"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The calculation of basic earnings per share as of December 31, 2021, 2020 and 2019 was based on the profit for the year divided by a weighted average number of ordinary shares outstanding, calculated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gridSpan w:val="2"/>
          </w:tcPr>
          <w:p>
            <w:pPr>
              <w:ind w:left="1020"/>
              <w:spacing w:after="0"/>
              <w:rPr>
                <w:sz w:val="20"/>
                <w:szCs w:val="20"/>
                <w:color w:val="auto"/>
              </w:rPr>
            </w:pPr>
            <w:r>
              <w:rPr>
                <w:rFonts w:ascii="Arial" w:cs="Arial" w:eastAsia="Arial" w:hAnsi="Arial"/>
                <w:sz w:val="18"/>
                <w:szCs w:val="18"/>
                <w:b w:val="1"/>
                <w:bCs w:val="1"/>
                <w:color w:val="auto"/>
              </w:rPr>
              <w:t>Profit for the year:</w:t>
            </w: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14"/>
        </w:trPr>
        <w:tc>
          <w:tcPr>
            <w:tcW w:w="11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8"/>
              </w:rPr>
              <w:t>Year ended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1"/>
        </w:trPr>
        <w:tc>
          <w:tcPr>
            <w:tcW w:w="11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w w:val="90"/>
              </w:rPr>
              <w:t>December 31</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w w:val="71"/>
              </w:rPr>
              <w:t>USD thousands</w:t>
            </w: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r>
      <w:tr>
        <w:trPr>
          <w:trHeight w:val="237"/>
        </w:trPr>
        <w:tc>
          <w:tcPr>
            <w:tcW w:w="1140" w:type="dxa"/>
            <w:vAlign w:val="bottom"/>
          </w:tcPr>
          <w:p>
            <w:pPr>
              <w:spacing w:after="0"/>
              <w:rPr>
                <w:sz w:val="20"/>
                <w:szCs w:val="20"/>
                <w:color w:val="auto"/>
              </w:rPr>
            </w:pPr>
          </w:p>
        </w:tc>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Profit for the year</w:t>
            </w:r>
          </w:p>
        </w:tc>
        <w:tc>
          <w:tcPr>
            <w:tcW w:w="38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73,223</w:t>
            </w:r>
          </w:p>
        </w:tc>
        <w:tc>
          <w:tcPr>
            <w:tcW w:w="11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2,139</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6,224</w:t>
            </w:r>
          </w:p>
        </w:tc>
        <w:tc>
          <w:tcPr>
            <w:tcW w:w="15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26"/>
        </w:trPr>
        <w:tc>
          <w:tcPr>
            <w:tcW w:w="6360" w:type="dxa"/>
            <w:vAlign w:val="bottom"/>
            <w:gridSpan w:val="2"/>
          </w:tcPr>
          <w:p>
            <w:pPr>
              <w:ind w:left="1020"/>
              <w:spacing w:after="0"/>
              <w:rPr>
                <w:sz w:val="20"/>
                <w:szCs w:val="20"/>
                <w:color w:val="auto"/>
              </w:rPr>
            </w:pPr>
            <w:r>
              <w:rPr>
                <w:rFonts w:ascii="Arial" w:cs="Arial" w:eastAsia="Arial" w:hAnsi="Arial"/>
                <w:sz w:val="18"/>
                <w:szCs w:val="18"/>
                <w:b w:val="1"/>
                <w:bCs w:val="1"/>
                <w:color w:val="auto"/>
              </w:rPr>
              <w:t>Weighted average number of ordinary shares:</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0"/>
              </w:rPr>
              <w:t>Year ended</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1"/>
        </w:trPr>
        <w:tc>
          <w:tcPr>
            <w:tcW w:w="11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8"/>
                <w:szCs w:val="18"/>
                <w:b w:val="1"/>
                <w:bCs w:val="1"/>
                <w:color w:val="auto"/>
                <w:w w:val="89"/>
              </w:rPr>
              <w:t>December 31</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0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3"/>
              </w:rPr>
              <w:t>Shares of NIS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8"/>
                <w:szCs w:val="18"/>
                <w:b w:val="1"/>
                <w:bCs w:val="1"/>
                <w:color w:val="auto"/>
                <w:w w:val="90"/>
              </w:rPr>
              <w:t>0.01 par value</w:t>
            </w: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02"/>
        </w:trPr>
        <w:tc>
          <w:tcPr>
            <w:tcW w:w="1140" w:type="dxa"/>
            <w:vAlign w:val="bottom"/>
          </w:tcPr>
          <w:p>
            <w:pPr>
              <w:spacing w:after="0"/>
              <w:rPr>
                <w:sz w:val="17"/>
                <w:szCs w:val="17"/>
                <w:color w:val="auto"/>
              </w:rPr>
            </w:pPr>
          </w:p>
        </w:tc>
        <w:tc>
          <w:tcPr>
            <w:tcW w:w="522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Weighted average number of ordinary shares used to calculate</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tcPr>
          <w:p>
            <w:pPr>
              <w:spacing w:after="0"/>
              <w:rPr>
                <w:sz w:val="17"/>
                <w:szCs w:val="17"/>
                <w:color w:val="auto"/>
              </w:rPr>
            </w:pPr>
          </w:p>
        </w:tc>
      </w:tr>
      <w:tr>
        <w:trPr>
          <w:trHeight w:val="271"/>
        </w:trPr>
        <w:tc>
          <w:tcPr>
            <w:tcW w:w="1140" w:type="dxa"/>
            <w:vAlign w:val="bottom"/>
          </w:tcPr>
          <w:p>
            <w:pPr>
              <w:spacing w:after="0"/>
              <w:rPr>
                <w:sz w:val="23"/>
                <w:szCs w:val="23"/>
                <w:color w:val="auto"/>
              </w:rPr>
            </w:pPr>
          </w:p>
        </w:tc>
        <w:tc>
          <w:tcPr>
            <w:tcW w:w="5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 earnings per share as at December 31</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144,493,989</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133,991,210</w:t>
            </w:r>
          </w:p>
        </w:tc>
        <w:tc>
          <w:tcPr>
            <w:tcW w:w="280" w:type="dxa"/>
            <w:vAlign w:val="bottom"/>
            <w:tcBorders>
              <w:bottom w:val="single" w:sz="8" w:color="CCEEFF"/>
              <w:right w:val="single" w:sz="8" w:color="CCEEFF"/>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111,231,769</w:t>
            </w:r>
          </w:p>
        </w:tc>
        <w:tc>
          <w:tcPr>
            <w:tcW w:w="80" w:type="dxa"/>
            <w:vAlign w:val="bottom"/>
            <w:tcBorders>
              <w:bottom w:val="single" w:sz="8" w:color="CCEEFF"/>
            </w:tcBorders>
            <w:shd w:val="clear" w:color="auto" w:fill="CCEEFF"/>
          </w:tcPr>
          <w:p>
            <w:pPr>
              <w:spacing w:after="0"/>
              <w:rPr>
                <w:sz w:val="23"/>
                <w:szCs w:val="23"/>
                <w:color w:val="auto"/>
              </w:rPr>
            </w:pPr>
          </w:p>
        </w:tc>
        <w:tc>
          <w:tcPr>
            <w:tcW w:w="1520" w:type="dxa"/>
            <w:vAlign w:val="bottom"/>
          </w:tcPr>
          <w:p>
            <w:pPr>
              <w:spacing w:after="0"/>
              <w:rPr>
                <w:sz w:val="23"/>
                <w:szCs w:val="23"/>
                <w:color w:val="auto"/>
              </w:rPr>
            </w:pPr>
          </w:p>
        </w:tc>
      </w:tr>
      <w:tr>
        <w:trPr>
          <w:trHeight w:val="210"/>
        </w:trPr>
        <w:tc>
          <w:tcPr>
            <w:tcW w:w="11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04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94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r>
      <w:tr>
        <w:trPr>
          <w:trHeight w:val="257"/>
        </w:trPr>
        <w:tc>
          <w:tcPr>
            <w:tcW w:w="1140" w:type="dxa"/>
            <w:vAlign w:val="bottom"/>
          </w:tcPr>
          <w:p>
            <w:pPr>
              <w:spacing w:after="0"/>
              <w:rPr>
                <w:sz w:val="22"/>
                <w:szCs w:val="22"/>
                <w:color w:val="auto"/>
              </w:rPr>
            </w:pPr>
          </w:p>
        </w:tc>
        <w:tc>
          <w:tcPr>
            <w:tcW w:w="52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(in USD)</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0.51</w:t>
            </w:r>
          </w:p>
        </w:tc>
        <w:tc>
          <w:tcPr>
            <w:tcW w:w="12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14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0.02</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c>
          <w:tcPr>
            <w:tcW w:w="1520" w:type="dxa"/>
            <w:vAlign w:val="bottom"/>
          </w:tcPr>
          <w:p>
            <w:pPr>
              <w:spacing w:after="0"/>
              <w:rPr>
                <w:sz w:val="22"/>
                <w:szCs w:val="22"/>
                <w:color w:val="auto"/>
              </w:rPr>
            </w:pPr>
          </w:p>
        </w:tc>
      </w:tr>
      <w:tr>
        <w:trPr>
          <w:trHeight w:val="425"/>
        </w:trPr>
        <w:tc>
          <w:tcPr>
            <w:tcW w:w="1140" w:type="dxa"/>
            <w:vAlign w:val="bottom"/>
          </w:tcPr>
          <w:p>
            <w:pPr>
              <w:spacing w:after="0"/>
              <w:rPr>
                <w:sz w:val="24"/>
                <w:szCs w:val="24"/>
                <w:color w:val="auto"/>
              </w:rPr>
            </w:pPr>
          </w:p>
        </w:tc>
        <w:tc>
          <w:tcPr>
            <w:tcW w:w="5220" w:type="dxa"/>
            <w:vAlign w:val="bottom"/>
            <w:tcBorders>
              <w:top w:val="single" w:sz="8" w:color="CCEEFF"/>
            </w:tcBorders>
          </w:tcPr>
          <w:p>
            <w:pPr>
              <w:ind w:left="4260"/>
              <w:spacing w:after="0"/>
              <w:rPr>
                <w:sz w:val="20"/>
                <w:szCs w:val="20"/>
                <w:color w:val="auto"/>
              </w:rPr>
            </w:pPr>
            <w:r>
              <w:rPr>
                <w:rFonts w:ascii="Arial" w:cs="Arial" w:eastAsia="Arial" w:hAnsi="Arial"/>
                <w:sz w:val="18"/>
                <w:szCs w:val="18"/>
                <w:color w:val="auto"/>
              </w:rPr>
              <w:t>F - 43</w:t>
            </w:r>
          </w:p>
        </w:tc>
        <w:tc>
          <w:tcPr>
            <w:tcW w:w="3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520" w:type="dxa"/>
            <w:vAlign w:val="bottom"/>
          </w:tcPr>
          <w:p>
            <w:pPr>
              <w:spacing w:after="0"/>
              <w:rPr>
                <w:sz w:val="24"/>
                <w:szCs w:val="24"/>
                <w:color w:val="auto"/>
              </w:rPr>
            </w:pPr>
          </w:p>
        </w:tc>
      </w:tr>
      <w:tr>
        <w:trPr>
          <w:trHeight w:val="61"/>
        </w:trPr>
        <w:tc>
          <w:tcPr>
            <w:tcW w:w="1140" w:type="dxa"/>
            <w:vAlign w:val="bottom"/>
            <w:tcBorders>
              <w:bottom w:val="single" w:sz="8" w:color="auto"/>
            </w:tcBorders>
          </w:tcPr>
          <w:p>
            <w:pPr>
              <w:spacing w:after="0"/>
              <w:rPr>
                <w:sz w:val="5"/>
                <w:szCs w:val="5"/>
                <w:color w:val="auto"/>
              </w:rPr>
            </w:pPr>
          </w:p>
        </w:tc>
        <w:tc>
          <w:tcPr>
            <w:tcW w:w="52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297"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EARNINGS PER SHARE (cont.)</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Diluted earnings per share:</w:t>
      </w:r>
    </w:p>
    <w:p>
      <w:pPr>
        <w:spacing w:after="0" w:line="229" w:lineRule="exact"/>
        <w:rPr>
          <w:sz w:val="20"/>
          <w:szCs w:val="20"/>
          <w:color w:val="auto"/>
        </w:rPr>
      </w:pPr>
    </w:p>
    <w:p>
      <w:pPr>
        <w:jc w:val="both"/>
        <w:ind w:left="1020"/>
        <w:spacing w:after="0" w:line="342" w:lineRule="auto"/>
        <w:rPr>
          <w:sz w:val="20"/>
          <w:szCs w:val="20"/>
          <w:color w:val="auto"/>
        </w:rPr>
      </w:pPr>
      <w:r>
        <w:rPr>
          <w:rFonts w:ascii="Arial" w:cs="Arial" w:eastAsia="Arial" w:hAnsi="Arial"/>
          <w:sz w:val="16"/>
          <w:szCs w:val="16"/>
          <w:color w:val="auto"/>
        </w:rPr>
        <w:t>The calculation of diluted earnings per share as of December 31, 2021, 2020 and 2019 was based on profit or for the year divided by a weighted average number of shares outstanding after adjustment for the effects of all dilutive potential ordinary shares, calculated as follows:</w:t>
      </w:r>
    </w:p>
    <w:p>
      <w:pPr>
        <w:spacing w:after="0" w:line="120"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number of ordinary shares (diluted):</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Year ended</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1"/>
        </w:trPr>
        <w:tc>
          <w:tcPr>
            <w:tcW w:w="1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December 31</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1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14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Shares of NIS</w:t>
            </w:r>
          </w:p>
        </w:tc>
        <w:tc>
          <w:tcPr>
            <w:tcW w:w="16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0.01 par value</w:t>
            </w:r>
          </w:p>
        </w:tc>
        <w:tc>
          <w:tcPr>
            <w:tcW w:w="10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120" w:type="dxa"/>
            <w:vAlign w:val="bottom"/>
          </w:tcPr>
          <w:p>
            <w:pPr>
              <w:spacing w:after="0"/>
              <w:rPr>
                <w:sz w:val="17"/>
                <w:szCs w:val="17"/>
                <w:color w:val="auto"/>
              </w:rPr>
            </w:pPr>
          </w:p>
        </w:tc>
        <w:tc>
          <w:tcPr>
            <w:tcW w:w="522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4"/>
              </w:rPr>
              <w:t>Weighted average number of ordinary shares used to calculate basic</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per share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144,493,989</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133,991,210</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111,231,769</w:t>
            </w:r>
          </w:p>
        </w:tc>
      </w:tr>
      <w:tr>
        <w:trPr>
          <w:trHeight w:val="223"/>
        </w:trPr>
        <w:tc>
          <w:tcPr>
            <w:tcW w:w="120" w:type="dxa"/>
            <w:vAlign w:val="bottom"/>
          </w:tcPr>
          <w:p>
            <w:pPr>
              <w:spacing w:after="0"/>
              <w:rPr>
                <w:sz w:val="19"/>
                <w:szCs w:val="19"/>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Effect of share options on issue</w:t>
            </w:r>
          </w:p>
        </w:tc>
        <w:tc>
          <w:tcPr>
            <w:tcW w:w="980" w:type="dxa"/>
            <w:vAlign w:val="bottom"/>
          </w:tcPr>
          <w:p>
            <w:pPr>
              <w:jc w:val="right"/>
              <w:spacing w:after="0"/>
              <w:rPr>
                <w:sz w:val="20"/>
                <w:szCs w:val="20"/>
                <w:color w:val="auto"/>
              </w:rPr>
            </w:pPr>
            <w:r>
              <w:rPr>
                <w:rFonts w:ascii="Arial" w:cs="Arial" w:eastAsia="Arial" w:hAnsi="Arial"/>
                <w:sz w:val="18"/>
                <w:szCs w:val="18"/>
                <w:color w:val="auto"/>
              </w:rPr>
              <w:t>8,212,903</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4,714,985</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3,576,114</w:t>
            </w:r>
          </w:p>
        </w:tc>
      </w:tr>
      <w:tr>
        <w:trPr>
          <w:trHeight w:val="216"/>
        </w:trPr>
        <w:tc>
          <w:tcPr>
            <w:tcW w:w="12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120" w:type="dxa"/>
            <w:vAlign w:val="bottom"/>
          </w:tcPr>
          <w:p>
            <w:pPr>
              <w:spacing w:after="0"/>
              <w:rPr>
                <w:sz w:val="17"/>
                <w:szCs w:val="17"/>
                <w:color w:val="auto"/>
              </w:rPr>
            </w:pPr>
          </w:p>
        </w:tc>
        <w:tc>
          <w:tcPr>
            <w:tcW w:w="5220" w:type="dxa"/>
            <w:vAlign w:val="bottom"/>
          </w:tcPr>
          <w:p>
            <w:pPr>
              <w:ind w:left="40"/>
              <w:spacing w:after="0" w:line="201" w:lineRule="exact"/>
              <w:rPr>
                <w:sz w:val="20"/>
                <w:szCs w:val="20"/>
                <w:color w:val="auto"/>
              </w:rPr>
            </w:pPr>
            <w:r>
              <w:rPr>
                <w:rFonts w:ascii="Arial" w:cs="Arial" w:eastAsia="Arial" w:hAnsi="Arial"/>
                <w:sz w:val="18"/>
                <w:szCs w:val="18"/>
                <w:color w:val="auto"/>
                <w:w w:val="92"/>
              </w:rPr>
              <w:t>Weighted average number of ordinary shares used to calculate diluted</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152,706,892</w:t>
            </w: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138,706,195</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114,807,883</w:t>
            </w:r>
          </w:p>
        </w:tc>
      </w:tr>
      <w:tr>
        <w:trPr>
          <w:trHeight w:val="21"/>
        </w:trPr>
        <w:tc>
          <w:tcPr>
            <w:tcW w:w="1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(in USD)</w:t>
            </w:r>
          </w:p>
        </w:tc>
        <w:tc>
          <w:tcPr>
            <w:tcW w:w="980" w:type="dxa"/>
            <w:vAlign w:val="bottom"/>
          </w:tcPr>
          <w:p>
            <w:pPr>
              <w:jc w:val="right"/>
              <w:spacing w:after="0"/>
              <w:rPr>
                <w:sz w:val="20"/>
                <w:szCs w:val="20"/>
                <w:color w:val="auto"/>
              </w:rPr>
            </w:pPr>
            <w:r>
              <w:rPr>
                <w:rFonts w:ascii="Arial" w:cs="Arial" w:eastAsia="Arial" w:hAnsi="Arial"/>
                <w:sz w:val="18"/>
                <w:szCs w:val="18"/>
                <w:color w:val="auto"/>
              </w:rPr>
              <w:t>0.48</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0.02</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r>
      <w:tr>
        <w:trPr>
          <w:trHeight w:val="21"/>
        </w:trPr>
        <w:tc>
          <w:tcPr>
            <w:tcW w:w="1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SHARE-BASED COMPENSATION ARRANGEMENTS</w:t>
      </w:r>
    </w:p>
    <w:p>
      <w:pPr>
        <w:spacing w:after="0" w:line="225" w:lineRule="exact"/>
        <w:rPr>
          <w:sz w:val="20"/>
          <w:szCs w:val="20"/>
          <w:color w:val="auto"/>
        </w:rPr>
      </w:pPr>
    </w:p>
    <w:p>
      <w:pPr>
        <w:ind w:left="1520" w:hanging="500"/>
        <w:spacing w:after="0"/>
        <w:tabs>
          <w:tab w:leader="none" w:pos="152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plan:</w:t>
      </w:r>
    </w:p>
    <w:p>
      <w:pPr>
        <w:spacing w:after="0" w:line="229" w:lineRule="exact"/>
        <w:rPr>
          <w:rFonts w:ascii="Arial" w:cs="Arial" w:eastAsia="Arial" w:hAnsi="Arial"/>
          <w:sz w:val="18"/>
          <w:szCs w:val="18"/>
          <w:b w:val="1"/>
          <w:bCs w:val="1"/>
          <w:color w:val="auto"/>
        </w:rPr>
      </w:pPr>
    </w:p>
    <w:p>
      <w:pPr>
        <w:ind w:left="1540"/>
        <w:spacing w:after="0"/>
        <w:rPr>
          <w:rFonts w:ascii="Arial" w:cs="Arial" w:eastAsia="Arial" w:hAnsi="Arial"/>
          <w:sz w:val="18"/>
          <w:szCs w:val="18"/>
          <w:b w:val="1"/>
          <w:bCs w:val="1"/>
          <w:color w:val="auto"/>
        </w:rPr>
      </w:pPr>
      <w:r>
        <w:rPr>
          <w:rFonts w:ascii="Arial" w:cs="Arial" w:eastAsia="Arial" w:hAnsi="Arial"/>
          <w:sz w:val="18"/>
          <w:szCs w:val="18"/>
          <w:color w:val="auto"/>
        </w:rPr>
        <w:t>The terms and conditions related to the grants of the share options programs are as follows:</w:t>
      </w:r>
    </w:p>
    <w:p>
      <w:pPr>
        <w:spacing w:after="0" w:line="225" w:lineRule="exact"/>
        <w:rPr>
          <w:rFonts w:ascii="Arial" w:cs="Arial" w:eastAsia="Arial" w:hAnsi="Arial"/>
          <w:sz w:val="18"/>
          <w:szCs w:val="18"/>
          <w:b w:val="1"/>
          <w:bCs w:val="1"/>
          <w:color w:val="auto"/>
        </w:rPr>
      </w:pPr>
    </w:p>
    <w:p>
      <w:pPr>
        <w:ind w:left="1840" w:hanging="307"/>
        <w:spacing w:after="0"/>
        <w:tabs>
          <w:tab w:leader="none" w:pos="18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the share options that were granted are non-marketable.</w:t>
      </w:r>
    </w:p>
    <w:p>
      <w:pPr>
        <w:spacing w:after="0" w:line="225" w:lineRule="exact"/>
        <w:rPr>
          <w:rFonts w:ascii="Arial" w:cs="Arial" w:eastAsia="Arial" w:hAnsi="Arial"/>
          <w:sz w:val="18"/>
          <w:szCs w:val="18"/>
          <w:color w:val="auto"/>
        </w:rPr>
      </w:pPr>
    </w:p>
    <w:p>
      <w:pPr>
        <w:ind w:left="1840" w:hanging="307"/>
        <w:spacing w:after="0"/>
        <w:tabs>
          <w:tab w:leader="none" w:pos="18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options are to be settled by physical delivery of ordinary shares or ADSs.</w:t>
      </w:r>
    </w:p>
    <w:p>
      <w:pPr>
        <w:spacing w:after="0" w:line="225" w:lineRule="exact"/>
        <w:rPr>
          <w:rFonts w:ascii="Arial" w:cs="Arial" w:eastAsia="Arial" w:hAnsi="Arial"/>
          <w:sz w:val="18"/>
          <w:szCs w:val="18"/>
          <w:color w:val="auto"/>
        </w:rPr>
      </w:pPr>
    </w:p>
    <w:p>
      <w:pPr>
        <w:ind w:left="1840" w:hanging="307"/>
        <w:spacing w:after="0"/>
        <w:tabs>
          <w:tab w:leader="none" w:pos="18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Vesting conditions are based on a service period of between 0.5-4 years.</w:t>
      </w:r>
    </w:p>
    <w:p>
      <w:pPr>
        <w:spacing w:after="0" w:line="225" w:lineRule="exact"/>
        <w:rPr>
          <w:sz w:val="20"/>
          <w:szCs w:val="20"/>
          <w:color w:val="auto"/>
        </w:rPr>
      </w:pPr>
    </w:p>
    <w:p>
      <w:pPr>
        <w:jc w:val="both"/>
        <w:ind w:left="1540"/>
        <w:spacing w:after="0" w:line="259" w:lineRule="auto"/>
        <w:rPr>
          <w:sz w:val="20"/>
          <w:szCs w:val="20"/>
          <w:color w:val="auto"/>
        </w:rPr>
      </w:pPr>
      <w:r>
        <w:rPr>
          <w:rFonts w:ascii="Arial" w:cs="Arial" w:eastAsia="Arial" w:hAnsi="Arial"/>
          <w:sz w:val="18"/>
          <w:szCs w:val="18"/>
          <w:color w:val="auto"/>
        </w:rPr>
        <w:t>On April 2, 2019, the Company's shareholders adopted the New Tremor International Ltd. Management Incentive Scheme to provide for the grant of 11,772,932 equity incentive awards to executive officers. In addition, following the acquisition of RhythmOne, the Company's shareholders adopted RhythmOne Plan to provide for the grant of 1,328,908 equity incentive award to RhythmOne executives and employees.</w:t>
      </w:r>
    </w:p>
    <w:p>
      <w:pPr>
        <w:spacing w:after="0" w:line="187" w:lineRule="exact"/>
        <w:rPr>
          <w:sz w:val="20"/>
          <w:szCs w:val="20"/>
          <w:color w:val="auto"/>
        </w:rPr>
      </w:pPr>
    </w:p>
    <w:p>
      <w:pPr>
        <w:jc w:val="both"/>
        <w:ind w:left="1540"/>
        <w:spacing w:after="0" w:line="257" w:lineRule="auto"/>
        <w:rPr>
          <w:sz w:val="20"/>
          <w:szCs w:val="20"/>
          <w:color w:val="auto"/>
        </w:rPr>
      </w:pPr>
      <w:r>
        <w:rPr>
          <w:rFonts w:ascii="Arial" w:cs="Arial" w:eastAsia="Arial" w:hAnsi="Arial"/>
          <w:sz w:val="18"/>
          <w:szCs w:val="18"/>
          <w:color w:val="auto"/>
        </w:rPr>
        <w:t>As part of the New Tremor International Ltd. Management Incentive Scheme, and following the acquisition of RhythmOne, the Company's shareholders approved a modification in the exercise price of 1,200,000 Company share options awarded to the CEO of the Group, out of which 1,080,000 share options will be vested subject to meet the performance-based metrics, and the remaining options will be vested over a shorter service periods. Furthermore, restricted stock units of 400,000 to the Group’s CEO were modified for a shorter vesting periods.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61" w:name="page162"/>
    <w:bookmarkEnd w:id="161"/>
    <w:p>
      <w:pPr>
        <w:jc w:val="center"/>
        <w:ind w:right="-19"/>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SHARE-BASED COMPENSATION ARRANGEMENTS (Cont.)</w:t>
      </w:r>
    </w:p>
    <w:p>
      <w:pPr>
        <w:spacing w:after="0" w:line="225" w:lineRule="exact"/>
        <w:rPr>
          <w:sz w:val="20"/>
          <w:szCs w:val="20"/>
          <w:color w:val="auto"/>
        </w:rPr>
      </w:pPr>
    </w:p>
    <w:p>
      <w:pPr>
        <w:ind w:left="1520" w:hanging="500"/>
        <w:spacing w:after="0"/>
        <w:tabs>
          <w:tab w:leader="none" w:pos="152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w:t>
      </w:r>
    </w:p>
    <w:p>
      <w:pPr>
        <w:spacing w:after="0" w:line="229" w:lineRule="exact"/>
        <w:rPr>
          <w:rFonts w:ascii="Arial" w:cs="Arial" w:eastAsia="Arial" w:hAnsi="Arial"/>
          <w:sz w:val="18"/>
          <w:szCs w:val="18"/>
          <w:b w:val="1"/>
          <w:bCs w:val="1"/>
          <w:color w:val="auto"/>
        </w:rPr>
      </w:pPr>
    </w:p>
    <w:p>
      <w:pPr>
        <w:ind w:left="1540"/>
        <w:spacing w:after="0"/>
        <w:rPr>
          <w:rFonts w:ascii="Arial" w:cs="Arial" w:eastAsia="Arial" w:hAnsi="Arial"/>
          <w:sz w:val="18"/>
          <w:szCs w:val="18"/>
          <w:b w:val="1"/>
          <w:bCs w:val="1"/>
          <w:color w:val="auto"/>
        </w:rPr>
      </w:pPr>
      <w:r>
        <w:rPr>
          <w:rFonts w:ascii="Arial" w:cs="Arial" w:eastAsia="Arial" w:hAnsi="Arial"/>
          <w:sz w:val="18"/>
          <w:szCs w:val="18"/>
          <w:color w:val="auto"/>
        </w:rPr>
        <w:t>The number of share options is as follows:</w:t>
      </w:r>
    </w:p>
    <w:p>
      <w:pPr>
        <w:spacing w:after="0" w:line="221"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96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3"/>
              </w:rPr>
              <w:t>Number of</w:t>
            </w:r>
          </w:p>
        </w:tc>
        <w:tc>
          <w:tcPr>
            <w:tcW w:w="186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9"/>
              </w:rPr>
              <w:t>Weighted average</w:t>
            </w:r>
          </w:p>
        </w:tc>
      </w:tr>
      <w:tr>
        <w:trPr>
          <w:trHeight w:val="241"/>
        </w:trPr>
        <w:tc>
          <w:tcPr>
            <w:tcW w:w="4360" w:type="dxa"/>
            <w:vAlign w:val="bottom"/>
          </w:tcPr>
          <w:p>
            <w:pPr>
              <w:spacing w:after="0"/>
              <w:rPr>
                <w:sz w:val="20"/>
                <w:szCs w:val="20"/>
                <w:color w:val="auto"/>
              </w:rPr>
            </w:pPr>
          </w:p>
        </w:tc>
        <w:tc>
          <w:tcPr>
            <w:tcW w:w="118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86"/>
              </w:rPr>
              <w:t>options</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6"/>
              </w:rPr>
              <w:t>exercise price</w:t>
            </w:r>
          </w:p>
        </w:tc>
      </w:tr>
      <w:tr>
        <w:trPr>
          <w:trHeight w:val="223"/>
        </w:trPr>
        <w:tc>
          <w:tcPr>
            <w:tcW w:w="4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19"/>
                <w:szCs w:val="19"/>
                <w:color w:val="auto"/>
              </w:rPr>
            </w:pPr>
          </w:p>
        </w:tc>
      </w:tr>
      <w:tr>
        <w:trPr>
          <w:trHeight w:val="223"/>
        </w:trPr>
        <w:tc>
          <w:tcPr>
            <w:tcW w:w="4360" w:type="dxa"/>
            <w:vAlign w:val="bottom"/>
          </w:tcPr>
          <w:p>
            <w:pPr>
              <w:spacing w:after="0"/>
              <w:rPr>
                <w:sz w:val="19"/>
                <w:szCs w:val="19"/>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8"/>
              </w:rPr>
              <w:t>(Thousands)</w:t>
            </w:r>
          </w:p>
        </w:tc>
        <w:tc>
          <w:tcPr>
            <w:tcW w:w="160" w:type="dxa"/>
            <w:vAlign w:val="bottom"/>
          </w:tcPr>
          <w:p>
            <w:pPr>
              <w:spacing w:after="0"/>
              <w:rPr>
                <w:sz w:val="19"/>
                <w:szCs w:val="19"/>
                <w:color w:val="auto"/>
              </w:rPr>
            </w:pPr>
          </w:p>
        </w:tc>
        <w:tc>
          <w:tcPr>
            <w:tcW w:w="116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95"/>
              </w:rPr>
              <w:t>(USD)</w:t>
            </w:r>
          </w:p>
        </w:tc>
        <w:tc>
          <w:tcPr>
            <w:tcW w:w="6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36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1 January</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(359)</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(1,621)</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6.79</w:t>
            </w:r>
          </w:p>
        </w:tc>
        <w:tc>
          <w:tcPr>
            <w:tcW w:w="2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3.91</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year</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0.72</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3,256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1,801</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10.76</w:t>
            </w:r>
          </w:p>
        </w:tc>
        <w:tc>
          <w:tcPr>
            <w:tcW w:w="2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2.21</w:t>
            </w:r>
          </w:p>
        </w:tc>
      </w:tr>
      <w:tr>
        <w:trPr>
          <w:trHeight w:val="216"/>
        </w:trPr>
        <w:tc>
          <w:tcPr>
            <w:tcW w:w="4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Outstanding at December 31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6,026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3,781</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6.54</w:t>
            </w:r>
          </w:p>
        </w:tc>
        <w:tc>
          <w:tcPr>
            <w:tcW w:w="2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r>
      <w:tr>
        <w:trPr>
          <w:trHeight w:val="20"/>
        </w:trPr>
        <w:tc>
          <w:tcPr>
            <w:tcW w:w="4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December 31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In January 2020, the Company’s Board of Directors approved a change in the exercise price and vesting terms relating to 2,204,174 options for ordinary shares held by certain employees (the “Amended Options”), as follows:</w:t>
      </w:r>
    </w:p>
    <w:p>
      <w:pPr>
        <w:spacing w:after="0" w:line="166" w:lineRule="exact"/>
        <w:rPr>
          <w:sz w:val="20"/>
          <w:szCs w:val="20"/>
          <w:color w:val="auto"/>
        </w:rPr>
      </w:pPr>
    </w:p>
    <w:tbl>
      <w:tblPr>
        <w:tblLayout w:type="fixed"/>
        <w:tblInd w:w="1620" w:type="dxa"/>
        <w:tblCellMar>
          <w:top w:w="0" w:type="dxa"/>
          <w:left w:w="0" w:type="dxa"/>
          <w:bottom w:w="0" w:type="dxa"/>
          <w:right w:w="0" w:type="dxa"/>
        </w:tblCellMar>
      </w:tblPr>
      <w:tr>
        <w:trPr>
          <w:trHeight w:val="241"/>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rPr>
              <w:t>Originally granted</w:t>
            </w:r>
          </w:p>
        </w:tc>
        <w:tc>
          <w:tcPr>
            <w:tcW w:w="80" w:type="dxa"/>
            <w:vAlign w:val="bottom"/>
          </w:tcPr>
          <w:p>
            <w:pPr>
              <w:spacing w:after="0"/>
              <w:rPr>
                <w:sz w:val="20"/>
                <w:szCs w:val="20"/>
                <w:color w:val="auto"/>
              </w:rPr>
            </w:pPr>
          </w:p>
        </w:tc>
        <w:tc>
          <w:tcPr>
            <w:tcW w:w="266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rPr>
              <w:t>Amended Granted</w:t>
            </w:r>
          </w:p>
        </w:tc>
      </w:tr>
      <w:tr>
        <w:trPr>
          <w:trHeight w:val="198"/>
        </w:trPr>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Exercise</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4"/>
              </w:rPr>
              <w:t>Exercise</w:t>
            </w: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6"/>
        </w:trPr>
        <w:tc>
          <w:tcPr>
            <w:tcW w:w="1740" w:type="dxa"/>
            <w:vAlign w:val="bottom"/>
          </w:tcPr>
          <w:p>
            <w:pPr>
              <w:ind w:left="600"/>
              <w:spacing w:after="0"/>
              <w:rPr>
                <w:sz w:val="20"/>
                <w:szCs w:val="20"/>
                <w:color w:val="auto"/>
              </w:rPr>
            </w:pPr>
            <w:r>
              <w:rPr>
                <w:rFonts w:ascii="Arial" w:cs="Arial" w:eastAsia="Arial" w:hAnsi="Arial"/>
                <w:sz w:val="18"/>
                <w:szCs w:val="18"/>
                <w:b w:val="1"/>
                <w:bCs w:val="1"/>
                <w:color w:val="auto"/>
              </w:rPr>
              <w:t>Grated</w:t>
            </w:r>
          </w:p>
        </w:tc>
        <w:tc>
          <w:tcPr>
            <w:tcW w:w="10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Number</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8"/>
              </w:rPr>
              <w:t>price</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rPr>
              <w:t>price</w:t>
            </w: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41"/>
        </w:trPr>
        <w:tc>
          <w:tcPr>
            <w:tcW w:w="174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date</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options</w:t>
            </w:r>
          </w:p>
        </w:tc>
        <w:tc>
          <w:tcPr>
            <w:tcW w:w="16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(GBP)</w:t>
            </w:r>
          </w:p>
        </w:tc>
        <w:tc>
          <w:tcPr>
            <w:tcW w:w="80" w:type="dxa"/>
            <w:vAlign w:val="bottom"/>
          </w:tcPr>
          <w:p>
            <w:pPr>
              <w:spacing w:after="0"/>
              <w:rPr>
                <w:sz w:val="20"/>
                <w:szCs w:val="20"/>
                <w:color w:val="auto"/>
              </w:rPr>
            </w:pP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Exercisable date from</w:t>
            </w:r>
          </w:p>
        </w:tc>
        <w:tc>
          <w:tcPr>
            <w:tcW w:w="80" w:type="dxa"/>
            <w:vAlign w:val="bottom"/>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(GBP)</w:t>
            </w:r>
          </w:p>
        </w:tc>
        <w:tc>
          <w:tcPr>
            <w:tcW w:w="80" w:type="dxa"/>
            <w:vAlign w:val="bottom"/>
          </w:tcPr>
          <w:p>
            <w:pPr>
              <w:spacing w:after="0"/>
              <w:rPr>
                <w:sz w:val="20"/>
                <w:szCs w:val="20"/>
                <w:color w:val="auto"/>
              </w:rPr>
            </w:pPr>
          </w:p>
        </w:tc>
        <w:tc>
          <w:tcPr>
            <w:tcW w:w="1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0"/>
              </w:rPr>
              <w:t>Exercisable date from</w:t>
            </w:r>
          </w:p>
        </w:tc>
      </w:tr>
      <w:tr>
        <w:trPr>
          <w:trHeight w:val="216"/>
        </w:trPr>
        <w:tc>
          <w:tcPr>
            <w:tcW w:w="1740" w:type="dxa"/>
            <w:vAlign w:val="bottom"/>
          </w:tcPr>
          <w:p>
            <w:pPr>
              <w:spacing w:after="0"/>
              <w:rPr>
                <w:sz w:val="18"/>
                <w:szCs w:val="18"/>
                <w:color w:val="auto"/>
              </w:rPr>
            </w:pPr>
          </w:p>
        </w:tc>
        <w:tc>
          <w:tcPr>
            <w:tcW w:w="1060" w:type="dxa"/>
            <w:vAlign w:val="bottom"/>
            <w:gridSpan w:val="3"/>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March 20, 2017</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217,000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2.44</w:t>
            </w:r>
          </w:p>
        </w:tc>
        <w:tc>
          <w:tcPr>
            <w:tcW w:w="1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March 20, 2019</w:t>
            </w:r>
          </w:p>
        </w:tc>
        <w:tc>
          <w:tcPr>
            <w:tcW w:w="8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July 28, 2021</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June 18, 2017</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116,000</w:t>
            </w: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2.99</w:t>
            </w:r>
          </w:p>
        </w:tc>
        <w:tc>
          <w:tcPr>
            <w:tcW w:w="1820" w:type="dxa"/>
            <w:vAlign w:val="bottom"/>
            <w:gridSpan w:val="2"/>
          </w:tcPr>
          <w:p>
            <w:pPr>
              <w:ind w:left="80"/>
              <w:spacing w:after="0"/>
              <w:rPr>
                <w:sz w:val="20"/>
                <w:szCs w:val="20"/>
                <w:color w:val="auto"/>
              </w:rPr>
            </w:pPr>
            <w:r>
              <w:rPr>
                <w:rFonts w:ascii="Arial" w:cs="Arial" w:eastAsia="Arial" w:hAnsi="Arial"/>
                <w:sz w:val="18"/>
                <w:szCs w:val="18"/>
                <w:color w:val="auto"/>
              </w:rPr>
              <w:t>June 18, 2019</w:t>
            </w: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July 28, 2021</w:t>
            </w: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November 5, 2017</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391,000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4.31</w:t>
            </w:r>
          </w:p>
        </w:tc>
        <w:tc>
          <w:tcPr>
            <w:tcW w:w="1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November 5, 2019</w:t>
            </w:r>
          </w:p>
        </w:tc>
        <w:tc>
          <w:tcPr>
            <w:tcW w:w="8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July 28, 2021</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January 23, 2018</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1,163,000</w:t>
            </w: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4.37</w:t>
            </w:r>
          </w:p>
        </w:tc>
        <w:tc>
          <w:tcPr>
            <w:tcW w:w="1820" w:type="dxa"/>
            <w:vAlign w:val="bottom"/>
            <w:gridSpan w:val="2"/>
          </w:tcPr>
          <w:p>
            <w:pPr>
              <w:ind w:left="80"/>
              <w:spacing w:after="0"/>
              <w:rPr>
                <w:sz w:val="20"/>
                <w:szCs w:val="20"/>
                <w:color w:val="auto"/>
              </w:rPr>
            </w:pPr>
            <w:r>
              <w:rPr>
                <w:rFonts w:ascii="Arial" w:cs="Arial" w:eastAsia="Arial" w:hAnsi="Arial"/>
                <w:sz w:val="18"/>
                <w:szCs w:val="18"/>
                <w:color w:val="auto"/>
              </w:rPr>
              <w:t>January 23, 2020</w:t>
            </w: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July 31, 2021</w:t>
            </w: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June 20, 2018</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52,000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4.37</w:t>
            </w:r>
          </w:p>
        </w:tc>
        <w:tc>
          <w:tcPr>
            <w:tcW w:w="1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June 20, 2020</w:t>
            </w:r>
          </w:p>
        </w:tc>
        <w:tc>
          <w:tcPr>
            <w:tcW w:w="8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July 31, 2021</w:t>
            </w:r>
          </w:p>
        </w:tc>
      </w:tr>
      <w:tr>
        <w:trPr>
          <w:trHeight w:val="202"/>
        </w:trPr>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92"/>
              </w:rPr>
              <w:t>2.06-</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rPr>
              <w:t>April 2, 2019 (*)</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265,174</w:t>
            </w: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18.27</w:t>
            </w:r>
          </w:p>
        </w:tc>
        <w:tc>
          <w:tcPr>
            <w:tcW w:w="1820" w:type="dxa"/>
            <w:vAlign w:val="bottom"/>
            <w:gridSpan w:val="2"/>
          </w:tcPr>
          <w:p>
            <w:pPr>
              <w:ind w:left="80"/>
              <w:spacing w:after="0"/>
              <w:rPr>
                <w:sz w:val="20"/>
                <w:szCs w:val="20"/>
                <w:color w:val="auto"/>
              </w:rPr>
            </w:pPr>
            <w:r>
              <w:rPr>
                <w:rFonts w:ascii="Arial" w:cs="Arial" w:eastAsia="Arial" w:hAnsi="Arial"/>
                <w:sz w:val="18"/>
                <w:szCs w:val="18"/>
                <w:color w:val="auto"/>
              </w:rPr>
              <w:t>April 2, 2019</w:t>
            </w: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20"/>
                <w:szCs w:val="20"/>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July 28, 2021</w:t>
            </w:r>
          </w:p>
        </w:tc>
      </w:tr>
    </w:tbl>
    <w:p>
      <w:pPr>
        <w:spacing w:after="0" w:line="202" w:lineRule="exact"/>
        <w:rPr>
          <w:sz w:val="20"/>
          <w:szCs w:val="20"/>
          <w:color w:val="auto"/>
        </w:rPr>
      </w:pPr>
    </w:p>
    <w:p>
      <w:pPr>
        <w:ind w:left="2040" w:hanging="628"/>
        <w:spacing w:after="0"/>
        <w:tabs>
          <w:tab w:leader="none" w:pos="20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Granted as part of RhythmOne’s acquisition as listed above.</w:t>
      </w:r>
    </w:p>
    <w:p>
      <w:pPr>
        <w:spacing w:after="0" w:line="225" w:lineRule="exact"/>
        <w:rPr>
          <w:sz w:val="20"/>
          <w:szCs w:val="20"/>
          <w:color w:val="auto"/>
        </w:rPr>
      </w:pPr>
    </w:p>
    <w:p>
      <w:pPr>
        <w:jc w:val="both"/>
        <w:ind w:left="1420"/>
        <w:spacing w:after="0" w:line="263" w:lineRule="auto"/>
        <w:rPr>
          <w:sz w:val="20"/>
          <w:szCs w:val="20"/>
          <w:color w:val="auto"/>
        </w:rPr>
      </w:pPr>
      <w:r>
        <w:rPr>
          <w:rFonts w:ascii="Arial" w:cs="Arial" w:eastAsia="Arial" w:hAnsi="Arial"/>
          <w:sz w:val="18"/>
          <w:szCs w:val="18"/>
          <w:color w:val="auto"/>
        </w:rPr>
        <w:t>The options that had a vesting date up to July 2021 were vested and became exercisable on July 2021, while the vesting and exercise periods of the rest of the options remain unchanged. The incremental fair value (amounting to USD 1,282 thousand) is recognized over the remaining vesting period. The new expiration date is one year after the last exercise date.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SHARE-BASED COMPENSATION ARRANGEMENTS (Cont.)</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Information on measurement of fair value of share-based compensation plans:</w:t>
      </w:r>
    </w:p>
    <w:p>
      <w:pPr>
        <w:spacing w:after="0" w:line="229" w:lineRule="exact"/>
        <w:rPr>
          <w:sz w:val="20"/>
          <w:szCs w:val="20"/>
          <w:color w:val="auto"/>
        </w:rPr>
      </w:pPr>
    </w:p>
    <w:p>
      <w:pPr>
        <w:jc w:val="both"/>
        <w:ind w:left="1420"/>
        <w:spacing w:after="0" w:line="263" w:lineRule="auto"/>
        <w:rPr>
          <w:sz w:val="20"/>
          <w:szCs w:val="20"/>
          <w:color w:val="auto"/>
        </w:rPr>
      </w:pPr>
      <w:r>
        <w:rPr>
          <w:rFonts w:ascii="Arial" w:cs="Arial" w:eastAsia="Arial" w:hAnsi="Arial"/>
          <w:sz w:val="18"/>
          <w:szCs w:val="18"/>
          <w:color w:val="auto"/>
        </w:rPr>
        <w:t>The fair value of employees share options is measured using the Black-Scholes formula. Measurement inputs include the share price on the measurement date, the exercise price of the instrument, expected volatility, expected term of the instruments, expected dividends, and the risk-free interest rate (See Note 3i).</w:t>
      </w:r>
    </w:p>
    <w:p>
      <w:pPr>
        <w:spacing w:after="0" w:line="184" w:lineRule="exact"/>
        <w:rPr>
          <w:sz w:val="20"/>
          <w:szCs w:val="20"/>
          <w:color w:val="auto"/>
        </w:rPr>
      </w:pPr>
    </w:p>
    <w:p>
      <w:pPr>
        <w:jc w:val="both"/>
        <w:ind w:left="1420" w:right="20"/>
        <w:spacing w:after="0" w:line="277" w:lineRule="auto"/>
        <w:rPr>
          <w:sz w:val="20"/>
          <w:szCs w:val="20"/>
          <w:color w:val="auto"/>
        </w:rPr>
      </w:pPr>
      <w:r>
        <w:rPr>
          <w:rFonts w:ascii="Arial" w:cs="Arial" w:eastAsia="Arial" w:hAnsi="Arial"/>
          <w:sz w:val="18"/>
          <w:szCs w:val="18"/>
          <w:color w:val="auto"/>
        </w:rPr>
        <w:t>The parameters used in the measurement of the fair values at grant date of the equity-settled share-based compensation plans were as follows:</w:t>
      </w:r>
    </w:p>
    <w:p>
      <w:pPr>
        <w:spacing w:after="0" w:line="166" w:lineRule="exact"/>
        <w:rPr>
          <w:sz w:val="20"/>
          <w:szCs w:val="20"/>
          <w:color w:val="auto"/>
        </w:rPr>
      </w:pPr>
    </w:p>
    <w:tbl>
      <w:tblPr>
        <w:tblLayout w:type="fixed"/>
        <w:tblInd w:w="1620" w:type="dxa"/>
        <w:tblCellMar>
          <w:top w:w="0" w:type="dxa"/>
          <w:left w:w="0" w:type="dxa"/>
          <w:bottom w:w="0" w:type="dxa"/>
          <w:right w:w="0" w:type="dxa"/>
        </w:tblCellMar>
      </w:tblPr>
      <w:tr>
        <w:trPr>
          <w:trHeight w:val="241"/>
        </w:trPr>
        <w:tc>
          <w:tcPr>
            <w:tcW w:w="490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r>
      <w:tr>
        <w:trPr>
          <w:trHeight w:val="216"/>
        </w:trPr>
        <w:tc>
          <w:tcPr>
            <w:tcW w:w="4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Grant date fair value in USD</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4.3</w:t>
            </w:r>
          </w:p>
        </w:tc>
        <w:tc>
          <w:tcPr>
            <w:tcW w:w="17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1.04-1.73</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Share price (on grant date) (in USD)</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10.09</w:t>
            </w:r>
          </w:p>
        </w:tc>
        <w:tc>
          <w:tcPr>
            <w:tcW w:w="176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1.74-3.03</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(in USD)</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10.76</w:t>
            </w:r>
          </w:p>
        </w:tc>
        <w:tc>
          <w:tcPr>
            <w:tcW w:w="17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1.89-3.06</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Expected volatility (weighted average)</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60%</w:t>
            </w:r>
          </w:p>
        </w:tc>
        <w:tc>
          <w:tcPr>
            <w:tcW w:w="176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60%</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(weighted average)</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3.75</w:t>
            </w:r>
          </w:p>
        </w:tc>
        <w:tc>
          <w:tcPr>
            <w:tcW w:w="17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3.5-3.75</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Expected dividends</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176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0.00%</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0.54%</w:t>
            </w:r>
          </w:p>
        </w:tc>
        <w:tc>
          <w:tcPr>
            <w:tcW w:w="17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0.15%-1.46%</w:t>
            </w:r>
          </w:p>
        </w:tc>
      </w:tr>
    </w:tbl>
    <w:p>
      <w:pPr>
        <w:spacing w:after="0" w:line="202" w:lineRule="exact"/>
        <w:rPr>
          <w:sz w:val="20"/>
          <w:szCs w:val="20"/>
          <w:color w:val="auto"/>
        </w:rPr>
      </w:pPr>
    </w:p>
    <w:p>
      <w:pPr>
        <w:ind w:left="1540" w:right="300"/>
        <w:spacing w:after="0" w:line="277" w:lineRule="auto"/>
        <w:rPr>
          <w:sz w:val="20"/>
          <w:szCs w:val="20"/>
          <w:color w:val="auto"/>
        </w:rPr>
      </w:pPr>
      <w:r>
        <w:rPr>
          <w:rFonts w:ascii="Arial" w:cs="Arial" w:eastAsia="Arial" w:hAnsi="Arial"/>
          <w:sz w:val="18"/>
          <w:szCs w:val="18"/>
          <w:color w:val="auto"/>
        </w:rPr>
        <w:t>The total expense recognized in the year ended December 31, 2021, with respect to the options granted to employees, amounted to approximately USD 3,412 thousand (2020: USD 2,693 thousand).</w:t>
      </w:r>
    </w:p>
    <w:p>
      <w:pPr>
        <w:spacing w:after="0" w:line="166" w:lineRule="exact"/>
        <w:rPr>
          <w:sz w:val="20"/>
          <w:szCs w:val="20"/>
          <w:color w:val="auto"/>
        </w:rPr>
      </w:pPr>
    </w:p>
    <w:p>
      <w:pPr>
        <w:ind w:left="1520" w:hanging="500"/>
        <w:spacing w:after="0"/>
        <w:tabs>
          <w:tab w:leader="none" w:pos="152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Share Units:</w:t>
      </w:r>
    </w:p>
    <w:p>
      <w:pPr>
        <w:spacing w:after="0" w:line="229" w:lineRule="exact"/>
        <w:rPr>
          <w:rFonts w:ascii="Arial" w:cs="Arial" w:eastAsia="Arial" w:hAnsi="Arial"/>
          <w:sz w:val="18"/>
          <w:szCs w:val="18"/>
          <w:b w:val="1"/>
          <w:bCs w:val="1"/>
          <w:color w:val="auto"/>
        </w:rPr>
      </w:pPr>
    </w:p>
    <w:p>
      <w:pPr>
        <w:ind w:left="15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2021 and 2020, the Group granted 7,366,472 and 3,334,074 Restricted Share Units ("RSUs") to its executive officers and employees, respectively.</w:t>
      </w:r>
    </w:p>
    <w:p>
      <w:pPr>
        <w:spacing w:after="0" w:line="170" w:lineRule="exact"/>
        <w:rPr>
          <w:rFonts w:ascii="Arial" w:cs="Arial" w:eastAsia="Arial" w:hAnsi="Arial"/>
          <w:sz w:val="18"/>
          <w:szCs w:val="18"/>
          <w:b w:val="1"/>
          <w:bCs w:val="1"/>
          <w:color w:val="auto"/>
        </w:rPr>
      </w:pPr>
    </w:p>
    <w:p>
      <w:pPr>
        <w:ind w:left="1540"/>
        <w:spacing w:after="0"/>
        <w:rPr>
          <w:rFonts w:ascii="Arial" w:cs="Arial" w:eastAsia="Arial" w:hAnsi="Arial"/>
          <w:sz w:val="18"/>
          <w:szCs w:val="18"/>
          <w:b w:val="1"/>
          <w:bCs w:val="1"/>
          <w:color w:val="auto"/>
        </w:rPr>
      </w:pPr>
      <w:r>
        <w:rPr>
          <w:rFonts w:ascii="Arial" w:cs="Arial" w:eastAsia="Arial" w:hAnsi="Arial"/>
          <w:sz w:val="18"/>
          <w:szCs w:val="18"/>
          <w:color w:val="auto"/>
        </w:rPr>
        <w:t>The number of restricted share units is as follows:</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220"/>
        <w:spacing w:after="0"/>
        <w:rPr>
          <w:sz w:val="20"/>
          <w:szCs w:val="20"/>
          <w:color w:val="auto"/>
        </w:rPr>
      </w:pPr>
      <w:r>
        <w:rPr>
          <w:rFonts w:ascii="Arial" w:cs="Arial" w:eastAsia="Arial" w:hAnsi="Arial"/>
          <w:sz w:val="16"/>
          <w:szCs w:val="16"/>
          <w:b w:val="1"/>
          <w:bCs w:val="1"/>
          <w:color w:val="auto"/>
        </w:rPr>
        <w:t>Number of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31750</wp:posOffset>
            </wp:positionV>
            <wp:extent cx="113982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1139825" cy="17145"/>
                    </a:xfrm>
                    <a:prstGeom prst="rect">
                      <a:avLst/>
                    </a:prstGeom>
                    <a:noFill/>
                  </pic:spPr>
                </pic:pic>
              </a:graphicData>
            </a:graphic>
          </wp:anchor>
        </w:drawing>
      </w:r>
    </w:p>
    <w:p>
      <w:pPr>
        <w:spacing w:after="0" w:line="39" w:lineRule="exact"/>
        <w:rPr>
          <w:sz w:val="20"/>
          <w:szCs w:val="20"/>
          <w:color w:val="auto"/>
        </w:rPr>
      </w:pPr>
    </w:p>
    <w:p>
      <w:pPr>
        <w:ind w:left="6200"/>
        <w:spacing w:after="0"/>
        <w:tabs>
          <w:tab w:leader="none" w:pos="716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31750</wp:posOffset>
            </wp:positionV>
            <wp:extent cx="113982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1139825" cy="17145"/>
                    </a:xfrm>
                    <a:prstGeom prst="rect">
                      <a:avLst/>
                    </a:prstGeom>
                    <a:noFill/>
                  </pic:spPr>
                </pic:pic>
              </a:graphicData>
            </a:graphic>
          </wp:anchor>
        </w:drawing>
      </w:r>
    </w:p>
    <w:p>
      <w:pPr>
        <w:spacing w:after="0" w:line="3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113982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11398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700"/>
        <w:spacing w:after="0"/>
        <w:rPr>
          <w:sz w:val="20"/>
          <w:szCs w:val="20"/>
          <w:color w:val="auto"/>
        </w:rPr>
      </w:pPr>
      <w:r>
        <w:rPr>
          <w:rFonts w:ascii="Arial" w:cs="Arial" w:eastAsia="Arial" w:hAnsi="Arial"/>
          <w:sz w:val="16"/>
          <w:szCs w:val="16"/>
          <w:b w:val="1"/>
          <w:bCs w:val="1"/>
          <w:color w:val="auto"/>
        </w:rPr>
        <w:t>Weighted-Average</w:t>
      </w:r>
    </w:p>
    <w:p>
      <w:pPr>
        <w:spacing w:after="0" w:line="50" w:lineRule="exact"/>
        <w:rPr>
          <w:sz w:val="20"/>
          <w:szCs w:val="20"/>
          <w:color w:val="auto"/>
        </w:rPr>
      </w:pPr>
    </w:p>
    <w:p>
      <w:pPr>
        <w:jc w:val="center"/>
        <w:ind w:right="1700"/>
        <w:spacing w:after="0"/>
        <w:rPr>
          <w:sz w:val="20"/>
          <w:szCs w:val="20"/>
          <w:color w:val="auto"/>
        </w:rPr>
      </w:pPr>
      <w:r>
        <w:rPr>
          <w:rFonts w:ascii="Arial" w:cs="Arial" w:eastAsia="Arial" w:hAnsi="Arial"/>
          <w:sz w:val="18"/>
          <w:szCs w:val="18"/>
          <w:b w:val="1"/>
          <w:bCs w:val="1"/>
          <w:color w:val="auto"/>
        </w:rPr>
        <w:t>Grant</w:t>
      </w:r>
    </w:p>
    <w:p>
      <w:pPr>
        <w:spacing w:after="0" w:line="9" w:lineRule="exact"/>
        <w:rPr>
          <w:sz w:val="20"/>
          <w:szCs w:val="20"/>
          <w:color w:val="auto"/>
        </w:rPr>
      </w:pPr>
    </w:p>
    <w:p>
      <w:pPr>
        <w:jc w:val="center"/>
        <w:ind w:right="1700"/>
        <w:spacing w:after="0"/>
        <w:rPr>
          <w:sz w:val="20"/>
          <w:szCs w:val="20"/>
          <w:color w:val="auto"/>
        </w:rPr>
      </w:pPr>
      <w:r>
        <w:rPr>
          <w:rFonts w:ascii="Arial" w:cs="Arial" w:eastAsia="Arial" w:hAnsi="Arial"/>
          <w:sz w:val="18"/>
          <w:szCs w:val="18"/>
          <w:b w:val="1"/>
          <w:bCs w:val="1"/>
          <w:color w:val="auto"/>
        </w:rPr>
        <w:t>Date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5715</wp:posOffset>
            </wp:positionV>
            <wp:extent cx="113157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1131570" cy="17145"/>
                    </a:xfrm>
                    <a:prstGeom prst="rect">
                      <a:avLst/>
                    </a:prstGeom>
                    <a:noFill/>
                  </pic:spPr>
                </pic:pic>
              </a:graphicData>
            </a:graphic>
          </wp:anchor>
        </w:drawing>
      </w:r>
    </w:p>
    <w:p>
      <w:pPr>
        <w:ind w:left="40"/>
        <w:spacing w:after="0"/>
        <w:tabs>
          <w:tab w:leader="none" w:pos="98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17145</wp:posOffset>
            </wp:positionV>
            <wp:extent cx="113157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1131570" cy="17145"/>
                    </a:xfrm>
                    <a:prstGeom prst="rect">
                      <a:avLst/>
                    </a:prstGeom>
                    <a:noFill/>
                  </pic:spPr>
                </pic:pic>
              </a:graphicData>
            </a:graphic>
          </wp:anchor>
        </w:drawing>
      </w:r>
    </w:p>
    <w:p>
      <w:pPr>
        <w:spacing w:after="0" w:line="442" w:lineRule="exact"/>
        <w:rPr>
          <w:sz w:val="20"/>
          <w:szCs w:val="20"/>
          <w:color w:val="auto"/>
        </w:rPr>
      </w:pPr>
    </w:p>
    <w:p>
      <w:pPr>
        <w:sectPr>
          <w:pgSz w:w="11900" w:h="16838" w:orient="portrait"/>
          <w:cols w:equalWidth="0" w:num="2">
            <w:col w:w="7540" w:space="580"/>
            <w:col w:w="3120"/>
          </w:cols>
          <w:pgMar w:left="320" w:top="297" w:right="339" w:bottom="1440" w:gutter="0" w:footer="0" w:header="0"/>
          <w:type w:val="continuous"/>
        </w:sectPr>
      </w:pPr>
    </w:p>
    <w:p>
      <w:pPr>
        <w:spacing w:after="0" w:line="70"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1 January</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3,777</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3,969</w:t>
            </w: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2.364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7.861</w:t>
            </w:r>
          </w:p>
        </w:tc>
        <w:tc>
          <w:tcPr>
            <w:tcW w:w="780" w:type="dxa"/>
            <w:vAlign w:val="bottom"/>
          </w:tcPr>
          <w:p>
            <w:pPr>
              <w:jc w:val="right"/>
              <w:spacing w:after="0"/>
              <w:rPr>
                <w:sz w:val="20"/>
                <w:szCs w:val="20"/>
                <w:color w:val="auto"/>
              </w:rPr>
            </w:pPr>
            <w:r>
              <w:rPr>
                <w:rFonts w:ascii="Arial" w:cs="Arial" w:eastAsia="Arial" w:hAnsi="Arial"/>
                <w:sz w:val="18"/>
                <w:szCs w:val="18"/>
                <w:color w:val="auto"/>
              </w:rPr>
              <w:t>2.511</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year</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(2,972)</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(3,480)</w:t>
            </w: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4.447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7,366</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2,919</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10.017</w:t>
            </w:r>
          </w:p>
        </w:tc>
        <w:tc>
          <w:tcPr>
            <w:tcW w:w="780" w:type="dxa"/>
            <w:vAlign w:val="bottom"/>
          </w:tcPr>
          <w:p>
            <w:pPr>
              <w:jc w:val="right"/>
              <w:spacing w:after="0"/>
              <w:rPr>
                <w:sz w:val="20"/>
                <w:szCs w:val="20"/>
                <w:color w:val="auto"/>
              </w:rPr>
            </w:pPr>
            <w:r>
              <w:rPr>
                <w:rFonts w:ascii="Arial" w:cs="Arial" w:eastAsia="Arial" w:hAnsi="Arial"/>
                <w:sz w:val="18"/>
                <w:szCs w:val="18"/>
                <w:color w:val="auto"/>
              </w:rPr>
              <w:t>2.538</w:t>
            </w: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Restricted stock units assumed in acquisition during the</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7"/>
        </w:trPr>
        <w:tc>
          <w:tcPr>
            <w:tcW w:w="4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year</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2.592</w:t>
            </w:r>
          </w:p>
        </w:tc>
      </w:tr>
      <w:tr>
        <w:trPr>
          <w:trHeight w:val="216"/>
        </w:trPr>
        <w:tc>
          <w:tcPr>
            <w:tcW w:w="43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56"/>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8,146</w:t>
            </w: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8.606</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2.364</w:t>
            </w:r>
          </w:p>
        </w:tc>
      </w:tr>
    </w:tbl>
    <w:p>
      <w:pPr>
        <w:spacing w:after="0" w:line="202"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The total expense recognized in the year ended December 31, 2021, with respect to the RSUs granted to employees, amounted to approximately USD 29,530 thousand (2020: USD 7,443 thousand).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63" w:name="page164"/>
    <w:bookmarkEnd w:id="163"/>
    <w:p>
      <w:pPr>
        <w:jc w:val="center"/>
        <w:ind w:right="-19"/>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SHARE-BASED COMPENSATION ARRANGEMENTS (Cont.)</w:t>
      </w:r>
    </w:p>
    <w:p>
      <w:pPr>
        <w:spacing w:after="0" w:line="225" w:lineRule="exact"/>
        <w:rPr>
          <w:sz w:val="20"/>
          <w:szCs w:val="20"/>
          <w:color w:val="auto"/>
        </w:rPr>
      </w:pPr>
    </w:p>
    <w:p>
      <w:pPr>
        <w:ind w:left="1520" w:hanging="500"/>
        <w:spacing w:after="0"/>
        <w:tabs>
          <w:tab w:leader="none" w:pos="152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Stock Units:</w:t>
      </w:r>
    </w:p>
    <w:p>
      <w:pPr>
        <w:spacing w:after="0" w:line="229" w:lineRule="exact"/>
        <w:rPr>
          <w:rFonts w:ascii="Arial" w:cs="Arial" w:eastAsia="Arial" w:hAnsi="Arial"/>
          <w:sz w:val="18"/>
          <w:szCs w:val="18"/>
          <w:b w:val="1"/>
          <w:bCs w:val="1"/>
          <w:color w:val="auto"/>
        </w:rPr>
      </w:pPr>
    </w:p>
    <w:p>
      <w:pPr>
        <w:ind w:left="1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2021 and 2020, the Group granted 2,668,240 and 725,000 Performance Stock Units ("PSUs") to its executive officers, respectively.</w:t>
      </w:r>
    </w:p>
    <w:p>
      <w:pPr>
        <w:spacing w:after="0" w:line="170" w:lineRule="exact"/>
        <w:rPr>
          <w:rFonts w:ascii="Arial" w:cs="Arial" w:eastAsia="Arial" w:hAnsi="Arial"/>
          <w:sz w:val="18"/>
          <w:szCs w:val="18"/>
          <w:b w:val="1"/>
          <w:bCs w:val="1"/>
          <w:color w:val="auto"/>
        </w:rPr>
      </w:pPr>
    </w:p>
    <w:p>
      <w:pPr>
        <w:ind w:left="1540"/>
        <w:spacing w:after="0"/>
        <w:rPr>
          <w:rFonts w:ascii="Arial" w:cs="Arial" w:eastAsia="Arial" w:hAnsi="Arial"/>
          <w:sz w:val="18"/>
          <w:szCs w:val="18"/>
          <w:b w:val="1"/>
          <w:bCs w:val="1"/>
          <w:color w:val="auto"/>
        </w:rPr>
      </w:pPr>
      <w:r>
        <w:rPr>
          <w:rFonts w:ascii="Arial" w:cs="Arial" w:eastAsia="Arial" w:hAnsi="Arial"/>
          <w:sz w:val="18"/>
          <w:szCs w:val="18"/>
          <w:color w:val="auto"/>
        </w:rPr>
        <w:t>The number of performance stock units is as follows:</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220"/>
        <w:spacing w:after="0"/>
        <w:rPr>
          <w:sz w:val="20"/>
          <w:szCs w:val="20"/>
          <w:color w:val="auto"/>
        </w:rPr>
      </w:pPr>
      <w:r>
        <w:rPr>
          <w:rFonts w:ascii="Arial" w:cs="Arial" w:eastAsia="Arial" w:hAnsi="Arial"/>
          <w:sz w:val="16"/>
          <w:szCs w:val="16"/>
          <w:b w:val="1"/>
          <w:bCs w:val="1"/>
          <w:color w:val="auto"/>
        </w:rPr>
        <w:t>Number of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31750</wp:posOffset>
            </wp:positionV>
            <wp:extent cx="113982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1139825" cy="17145"/>
                    </a:xfrm>
                    <a:prstGeom prst="rect">
                      <a:avLst/>
                    </a:prstGeom>
                    <a:noFill/>
                  </pic:spPr>
                </pic:pic>
              </a:graphicData>
            </a:graphic>
          </wp:anchor>
        </w:drawing>
      </w:r>
    </w:p>
    <w:p>
      <w:pPr>
        <w:spacing w:after="0" w:line="39" w:lineRule="exact"/>
        <w:rPr>
          <w:sz w:val="20"/>
          <w:szCs w:val="20"/>
          <w:color w:val="auto"/>
        </w:rPr>
      </w:pPr>
    </w:p>
    <w:p>
      <w:pPr>
        <w:ind w:left="6200"/>
        <w:spacing w:after="0"/>
        <w:tabs>
          <w:tab w:leader="none" w:pos="716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31750</wp:posOffset>
            </wp:positionV>
            <wp:extent cx="113982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1139825" cy="17145"/>
                    </a:xfrm>
                    <a:prstGeom prst="rect">
                      <a:avLst/>
                    </a:prstGeom>
                    <a:noFill/>
                  </pic:spPr>
                </pic:pic>
              </a:graphicData>
            </a:graphic>
          </wp:anchor>
        </w:drawing>
      </w:r>
    </w:p>
    <w:p>
      <w:pPr>
        <w:spacing w:after="0" w:line="3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113982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11398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700"/>
        <w:spacing w:after="0"/>
        <w:rPr>
          <w:sz w:val="20"/>
          <w:szCs w:val="20"/>
          <w:color w:val="auto"/>
        </w:rPr>
      </w:pPr>
      <w:r>
        <w:rPr>
          <w:rFonts w:ascii="Arial" w:cs="Arial" w:eastAsia="Arial" w:hAnsi="Arial"/>
          <w:sz w:val="16"/>
          <w:szCs w:val="16"/>
          <w:b w:val="1"/>
          <w:bCs w:val="1"/>
          <w:color w:val="auto"/>
        </w:rPr>
        <w:t>Weighted-Average</w:t>
      </w:r>
    </w:p>
    <w:p>
      <w:pPr>
        <w:spacing w:after="0" w:line="50" w:lineRule="exact"/>
        <w:rPr>
          <w:sz w:val="20"/>
          <w:szCs w:val="20"/>
          <w:color w:val="auto"/>
        </w:rPr>
      </w:pPr>
    </w:p>
    <w:p>
      <w:pPr>
        <w:jc w:val="center"/>
        <w:ind w:right="1700"/>
        <w:spacing w:after="0"/>
        <w:rPr>
          <w:sz w:val="20"/>
          <w:szCs w:val="20"/>
          <w:color w:val="auto"/>
        </w:rPr>
      </w:pPr>
      <w:r>
        <w:rPr>
          <w:rFonts w:ascii="Arial" w:cs="Arial" w:eastAsia="Arial" w:hAnsi="Arial"/>
          <w:sz w:val="18"/>
          <w:szCs w:val="18"/>
          <w:b w:val="1"/>
          <w:bCs w:val="1"/>
          <w:color w:val="auto"/>
        </w:rPr>
        <w:t>Grant</w:t>
      </w:r>
    </w:p>
    <w:p>
      <w:pPr>
        <w:spacing w:after="0" w:line="9" w:lineRule="exact"/>
        <w:rPr>
          <w:sz w:val="20"/>
          <w:szCs w:val="20"/>
          <w:color w:val="auto"/>
        </w:rPr>
      </w:pPr>
    </w:p>
    <w:p>
      <w:pPr>
        <w:jc w:val="center"/>
        <w:ind w:right="1700"/>
        <w:spacing w:after="0"/>
        <w:rPr>
          <w:sz w:val="20"/>
          <w:szCs w:val="20"/>
          <w:color w:val="auto"/>
        </w:rPr>
      </w:pPr>
      <w:r>
        <w:rPr>
          <w:rFonts w:ascii="Arial" w:cs="Arial" w:eastAsia="Arial" w:hAnsi="Arial"/>
          <w:sz w:val="18"/>
          <w:szCs w:val="18"/>
          <w:b w:val="1"/>
          <w:bCs w:val="1"/>
          <w:color w:val="auto"/>
        </w:rPr>
        <w:t>Date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5715</wp:posOffset>
            </wp:positionV>
            <wp:extent cx="113157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1131570" cy="17145"/>
                    </a:xfrm>
                    <a:prstGeom prst="rect">
                      <a:avLst/>
                    </a:prstGeom>
                    <a:noFill/>
                  </pic:spPr>
                </pic:pic>
              </a:graphicData>
            </a:graphic>
          </wp:anchor>
        </w:drawing>
      </w:r>
    </w:p>
    <w:p>
      <w:pPr>
        <w:ind w:left="40"/>
        <w:spacing w:after="0"/>
        <w:tabs>
          <w:tab w:leader="none" w:pos="98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17145</wp:posOffset>
            </wp:positionV>
            <wp:extent cx="113157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1131570" cy="17145"/>
                    </a:xfrm>
                    <a:prstGeom prst="rect">
                      <a:avLst/>
                    </a:prstGeom>
                    <a:noFill/>
                  </pic:spPr>
                </pic:pic>
              </a:graphicData>
            </a:graphic>
          </wp:anchor>
        </w:drawing>
      </w:r>
    </w:p>
    <w:p>
      <w:pPr>
        <w:spacing w:after="0" w:line="443" w:lineRule="exact"/>
        <w:rPr>
          <w:sz w:val="20"/>
          <w:szCs w:val="20"/>
          <w:color w:val="auto"/>
        </w:rPr>
      </w:pPr>
    </w:p>
    <w:p>
      <w:pPr>
        <w:sectPr>
          <w:pgSz w:w="11900" w:h="16838" w:orient="portrait"/>
          <w:cols w:equalWidth="0" w:num="2">
            <w:col w:w="7540" w:space="580"/>
            <w:col w:w="3120"/>
          </w:cols>
          <w:pgMar w:left="320" w:top="297" w:right="339" w:bottom="1440" w:gutter="0" w:footer="0" w:header="0"/>
          <w:type w:val="continuous"/>
        </w:sectPr>
      </w:pPr>
    </w:p>
    <w:p>
      <w:pPr>
        <w:spacing w:after="0" w:line="70"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5,071</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2.155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(206)</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2.253</w:t>
            </w:r>
          </w:p>
        </w:tc>
        <w:tc>
          <w:tcPr>
            <w:tcW w:w="780" w:type="dxa"/>
            <w:vAlign w:val="bottom"/>
          </w:tcPr>
          <w:p>
            <w:pPr>
              <w:jc w:val="right"/>
              <w:spacing w:after="0"/>
              <w:rPr>
                <w:sz w:val="20"/>
                <w:szCs w:val="20"/>
                <w:color w:val="auto"/>
              </w:rPr>
            </w:pPr>
            <w:r>
              <w:rPr>
                <w:rFonts w:ascii="Arial" w:cs="Arial" w:eastAsia="Arial" w:hAnsi="Arial"/>
                <w:sz w:val="18"/>
                <w:szCs w:val="18"/>
                <w:color w:val="auto"/>
              </w:rPr>
              <w:t>2.211</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year</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(1,738)</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2.204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w:t>
            </w:r>
          </w:p>
        </w:tc>
        <w:tc>
          <w:tcPr>
            <w:tcW w:w="1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300" w:type="dxa"/>
            <w:vAlign w:val="bottom"/>
          </w:tcPr>
          <w:p>
            <w:pPr>
              <w:spacing w:after="0"/>
              <w:rPr>
                <w:sz w:val="19"/>
                <w:szCs w:val="19"/>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9.999</w:t>
            </w:r>
          </w:p>
        </w:tc>
        <w:tc>
          <w:tcPr>
            <w:tcW w:w="780" w:type="dxa"/>
            <w:vAlign w:val="bottom"/>
          </w:tcPr>
          <w:p>
            <w:pPr>
              <w:jc w:val="right"/>
              <w:spacing w:after="0"/>
              <w:rPr>
                <w:sz w:val="20"/>
                <w:szCs w:val="20"/>
                <w:color w:val="auto"/>
              </w:rPr>
            </w:pPr>
            <w:r>
              <w:rPr>
                <w:rFonts w:ascii="Arial" w:cs="Arial" w:eastAsia="Arial" w:hAnsi="Arial"/>
                <w:sz w:val="18"/>
                <w:szCs w:val="18"/>
                <w:color w:val="auto"/>
              </w:rPr>
              <w:t>2.590</w:t>
            </w:r>
          </w:p>
        </w:tc>
      </w:tr>
      <w:tr>
        <w:trPr>
          <w:trHeight w:val="216"/>
        </w:trPr>
        <w:tc>
          <w:tcPr>
            <w:tcW w:w="4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Outstanding at December 31</w:t>
            </w:r>
          </w:p>
        </w:tc>
        <w:tc>
          <w:tcPr>
            <w:tcW w:w="820" w:type="dxa"/>
            <w:vAlign w:val="bottom"/>
          </w:tcPr>
          <w:p>
            <w:pPr>
              <w:jc w:val="right"/>
              <w:spacing w:after="0"/>
              <w:rPr>
                <w:sz w:val="20"/>
                <w:szCs w:val="20"/>
                <w:color w:val="auto"/>
              </w:rPr>
            </w:pPr>
            <w:r>
              <w:rPr>
                <w:rFonts w:ascii="Arial" w:cs="Arial" w:eastAsia="Arial" w:hAnsi="Arial"/>
                <w:sz w:val="18"/>
                <w:szCs w:val="18"/>
                <w:color w:val="auto"/>
              </w:rPr>
              <w:t>4,486</w:t>
            </w: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3,852</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6.796</w:t>
            </w:r>
          </w:p>
        </w:tc>
        <w:tc>
          <w:tcPr>
            <w:tcW w:w="780" w:type="dxa"/>
            <w:vAlign w:val="bottom"/>
          </w:tcPr>
          <w:p>
            <w:pPr>
              <w:jc w:val="right"/>
              <w:spacing w:after="0"/>
              <w:rPr>
                <w:sz w:val="20"/>
                <w:szCs w:val="20"/>
                <w:color w:val="auto"/>
              </w:rPr>
            </w:pPr>
            <w:r>
              <w:rPr>
                <w:rFonts w:ascii="Arial" w:cs="Arial" w:eastAsia="Arial" w:hAnsi="Arial"/>
                <w:sz w:val="18"/>
                <w:szCs w:val="18"/>
                <w:color w:val="auto"/>
              </w:rPr>
              <w:t>2.155</w:t>
            </w:r>
          </w:p>
        </w:tc>
      </w:tr>
      <w:tr>
        <w:trPr>
          <w:trHeight w:val="20"/>
        </w:trPr>
        <w:tc>
          <w:tcPr>
            <w:tcW w:w="4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The vesting of the PSUs is subject to continues employment and compliance with the performance criteria determined by the Company’s Remuneration Committee and the Company’s Board of Directors.</w:t>
      </w:r>
    </w:p>
    <w:p>
      <w:pPr>
        <w:spacing w:after="0" w:line="170"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The total expense recognized in the year ended December 31, 2021, with respect to the PSUs granted to employees, amounted to approximately USD 9,876 thousand (2020: USD 4,354 thousand).</w:t>
      </w:r>
    </w:p>
    <w:p>
      <w:pPr>
        <w:spacing w:after="0" w:line="166" w:lineRule="exact"/>
        <w:rPr>
          <w:sz w:val="20"/>
          <w:szCs w:val="20"/>
          <w:color w:val="auto"/>
        </w:rPr>
      </w:pPr>
    </w:p>
    <w:p>
      <w:pPr>
        <w:ind w:left="1520" w:hanging="500"/>
        <w:spacing w:after="0"/>
        <w:tabs>
          <w:tab w:leader="none" w:pos="152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Expense recognized in the statement of operation and other comprehensive income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8"/>
              </w:rPr>
              <w:t>Year ended</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1"/>
        </w:trPr>
        <w:tc>
          <w:tcPr>
            <w:tcW w:w="16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89"/>
              </w:rPr>
              <w:t>December 31</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3"/>
        </w:trPr>
        <w:tc>
          <w:tcPr>
            <w:tcW w:w="16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3"/>
        </w:trPr>
        <w:tc>
          <w:tcPr>
            <w:tcW w:w="16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70"/>
              </w:rPr>
              <w:t>USD thousands</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16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280" w:type="dxa"/>
            <w:vAlign w:val="bottom"/>
            <w:gridSpan w:val="3"/>
          </w:tcPr>
          <w:p>
            <w:pPr>
              <w:spacing w:after="0"/>
              <w:rPr>
                <w:sz w:val="18"/>
                <w:szCs w:val="18"/>
                <w:color w:val="auto"/>
              </w:rPr>
            </w:pPr>
          </w:p>
        </w:tc>
        <w:tc>
          <w:tcPr>
            <w:tcW w:w="110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3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7,094</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4,515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1,257</w:t>
            </w:r>
          </w:p>
        </w:tc>
        <w:tc>
          <w:tcPr>
            <w:tcW w:w="14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9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280" w:type="dxa"/>
            <w:vAlign w:val="bottom"/>
            <w:gridSpan w:val="3"/>
          </w:tcPr>
          <w:p>
            <w:pPr>
              <w:jc w:val="right"/>
              <w:spacing w:after="0"/>
              <w:rPr>
                <w:sz w:val="20"/>
                <w:szCs w:val="20"/>
                <w:color w:val="auto"/>
              </w:rPr>
            </w:pPr>
            <w:r>
              <w:rPr>
                <w:rFonts w:ascii="Arial" w:cs="Arial" w:eastAsia="Arial" w:hAnsi="Arial"/>
                <w:sz w:val="18"/>
                <w:szCs w:val="18"/>
                <w:color w:val="auto"/>
              </w:rPr>
              <w:t>3,474</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452</w:t>
            </w:r>
          </w:p>
        </w:tc>
        <w:tc>
          <w:tcPr>
            <w:tcW w:w="1440" w:type="dxa"/>
            <w:vAlign w:val="bottom"/>
          </w:tcPr>
          <w:p>
            <w:pPr>
              <w:spacing w:after="0"/>
              <w:rPr>
                <w:sz w:val="18"/>
                <w:szCs w:val="18"/>
                <w:color w:val="auto"/>
              </w:rPr>
            </w:pPr>
          </w:p>
        </w:tc>
      </w:tr>
      <w:tr>
        <w:trPr>
          <w:trHeight w:val="223"/>
        </w:trPr>
        <w:tc>
          <w:tcPr>
            <w:tcW w:w="1620" w:type="dxa"/>
            <w:vAlign w:val="bottom"/>
          </w:tcPr>
          <w:p>
            <w:pPr>
              <w:spacing w:after="0"/>
              <w:rPr>
                <w:sz w:val="19"/>
                <w:szCs w:val="19"/>
                <w:color w:val="auto"/>
              </w:rPr>
            </w:pPr>
          </w:p>
        </w:tc>
        <w:tc>
          <w:tcPr>
            <w:tcW w:w="2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9,420</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14,100</w:t>
            </w:r>
          </w:p>
        </w:tc>
        <w:tc>
          <w:tcPr>
            <w:tcW w:w="1440" w:type="dxa"/>
            <w:vAlign w:val="bottom"/>
          </w:tcPr>
          <w:p>
            <w:pPr>
              <w:spacing w:after="0"/>
              <w:rPr>
                <w:sz w:val="19"/>
                <w:szCs w:val="19"/>
                <w:color w:val="auto"/>
              </w:rPr>
            </w:pPr>
          </w:p>
        </w:tc>
      </w:tr>
      <w:tr>
        <w:trPr>
          <w:trHeight w:val="216"/>
        </w:trPr>
        <w:tc>
          <w:tcPr>
            <w:tcW w:w="1620" w:type="dxa"/>
            <w:vAlign w:val="bottom"/>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40" w:type="dxa"/>
            <w:vAlign w:val="bottom"/>
          </w:tcPr>
          <w:p>
            <w:pPr>
              <w:spacing w:after="0"/>
              <w:rPr>
                <w:sz w:val="18"/>
                <w:szCs w:val="18"/>
                <w:color w:val="auto"/>
              </w:rPr>
            </w:pPr>
          </w:p>
        </w:tc>
      </w:tr>
      <w:tr>
        <w:trPr>
          <w:trHeight w:val="256"/>
        </w:trPr>
        <w:tc>
          <w:tcPr>
            <w:tcW w:w="1620" w:type="dxa"/>
            <w:vAlign w:val="bottom"/>
          </w:tcPr>
          <w:p>
            <w:pPr>
              <w:spacing w:after="0"/>
              <w:rPr>
                <w:sz w:val="22"/>
                <w:szCs w:val="22"/>
                <w:color w:val="auto"/>
              </w:rPr>
            </w:pPr>
          </w:p>
        </w:tc>
        <w:tc>
          <w:tcPr>
            <w:tcW w:w="290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42,818</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14,490</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15,809</w:t>
            </w:r>
          </w:p>
        </w:tc>
        <w:tc>
          <w:tcPr>
            <w:tcW w:w="1440" w:type="dxa"/>
            <w:vAlign w:val="bottom"/>
          </w:tcPr>
          <w:p>
            <w:pPr>
              <w:spacing w:after="0"/>
              <w:rPr>
                <w:sz w:val="22"/>
                <w:szCs w:val="22"/>
                <w:color w:val="auto"/>
              </w:rPr>
            </w:pPr>
          </w:p>
        </w:tc>
      </w:tr>
      <w:tr>
        <w:trPr>
          <w:trHeight w:val="426"/>
        </w:trPr>
        <w:tc>
          <w:tcPr>
            <w:tcW w:w="1620" w:type="dxa"/>
            <w:vAlign w:val="bottom"/>
          </w:tcPr>
          <w:p>
            <w:pPr>
              <w:spacing w:after="0"/>
              <w:rPr>
                <w:sz w:val="24"/>
                <w:szCs w:val="24"/>
                <w:color w:val="auto"/>
              </w:rPr>
            </w:pPr>
          </w:p>
        </w:tc>
        <w:tc>
          <w:tcPr>
            <w:tcW w:w="2900" w:type="dxa"/>
            <w:vAlign w:val="bottom"/>
            <w:tcBorders>
              <w:top w:val="single" w:sz="8" w:color="CCEEFF"/>
            </w:tcBorders>
          </w:tcPr>
          <w:p>
            <w:pPr>
              <w:spacing w:after="0"/>
              <w:rPr>
                <w:sz w:val="24"/>
                <w:szCs w:val="24"/>
                <w:color w:val="auto"/>
              </w:rPr>
            </w:pPr>
          </w:p>
        </w:tc>
        <w:tc>
          <w:tcPr>
            <w:tcW w:w="2440" w:type="dxa"/>
            <w:vAlign w:val="bottom"/>
            <w:tcBorders>
              <w:top w:val="single" w:sz="8" w:color="CCEEFF"/>
            </w:tcBorders>
          </w:tcPr>
          <w:p>
            <w:pPr>
              <w:ind w:left="880"/>
              <w:spacing w:after="0"/>
              <w:rPr>
                <w:sz w:val="20"/>
                <w:szCs w:val="20"/>
                <w:color w:val="auto"/>
              </w:rPr>
            </w:pPr>
            <w:r>
              <w:rPr>
                <w:rFonts w:ascii="Arial" w:cs="Arial" w:eastAsia="Arial" w:hAnsi="Arial"/>
                <w:sz w:val="18"/>
                <w:szCs w:val="18"/>
                <w:color w:val="auto"/>
              </w:rPr>
              <w:t>F - 47</w:t>
            </w:r>
          </w:p>
        </w:tc>
        <w:tc>
          <w:tcPr>
            <w:tcW w:w="8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61"/>
        </w:trPr>
        <w:tc>
          <w:tcPr>
            <w:tcW w:w="1620" w:type="dxa"/>
            <w:vAlign w:val="bottom"/>
            <w:tcBorders>
              <w:bottom w:val="single" w:sz="8" w:color="auto"/>
            </w:tcBorders>
          </w:tcPr>
          <w:p>
            <w:pPr>
              <w:spacing w:after="0"/>
              <w:rPr>
                <w:sz w:val="5"/>
                <w:szCs w:val="5"/>
                <w:color w:val="auto"/>
              </w:rPr>
            </w:pPr>
          </w:p>
        </w:tc>
        <w:tc>
          <w:tcPr>
            <w:tcW w:w="2900" w:type="dxa"/>
            <w:vAlign w:val="bottom"/>
            <w:tcBorders>
              <w:bottom w:val="single" w:sz="8" w:color="auto"/>
            </w:tcBorders>
          </w:tcPr>
          <w:p>
            <w:pPr>
              <w:spacing w:after="0"/>
              <w:rPr>
                <w:sz w:val="5"/>
                <w:szCs w:val="5"/>
                <w:color w:val="auto"/>
              </w:rPr>
            </w:pPr>
          </w:p>
        </w:tc>
        <w:tc>
          <w:tcPr>
            <w:tcW w:w="2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297" w:right="339" w:bottom="1440" w:gutter="0" w:footer="0" w:header="0"/>
          <w:type w:val="continuous"/>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18:</w:t>
        <w:tab/>
        <w:t>FINANCIAL INSTRUMENTS</w:t>
      </w:r>
    </w:p>
    <w:p>
      <w:pPr>
        <w:spacing w:after="0" w:line="225" w:lineRule="exact"/>
        <w:rPr>
          <w:sz w:val="20"/>
          <w:szCs w:val="20"/>
          <w:color w:val="auto"/>
        </w:rPr>
      </w:pPr>
    </w:p>
    <w:p>
      <w:pPr>
        <w:ind w:left="1520" w:hanging="500"/>
        <w:spacing w:after="0"/>
        <w:tabs>
          <w:tab w:leader="none" w:pos="152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229" w:lineRule="exact"/>
        <w:rPr>
          <w:rFonts w:ascii="Arial" w:cs="Arial" w:eastAsia="Arial" w:hAnsi="Arial"/>
          <w:sz w:val="18"/>
          <w:szCs w:val="18"/>
          <w:b w:val="1"/>
          <w:bCs w:val="1"/>
          <w:color w:val="auto"/>
        </w:rPr>
      </w:pPr>
    </w:p>
    <w:p>
      <w:pPr>
        <w:ind w:left="1540"/>
        <w:spacing w:after="0"/>
        <w:rPr>
          <w:rFonts w:ascii="Arial" w:cs="Arial" w:eastAsia="Arial" w:hAnsi="Arial"/>
          <w:sz w:val="18"/>
          <w:szCs w:val="18"/>
          <w:b w:val="1"/>
          <w:bCs w:val="1"/>
          <w:color w:val="auto"/>
        </w:rPr>
      </w:pPr>
      <w:r>
        <w:rPr>
          <w:rFonts w:ascii="Arial" w:cs="Arial" w:eastAsia="Arial" w:hAnsi="Arial"/>
          <w:sz w:val="18"/>
          <w:szCs w:val="18"/>
          <w:color w:val="auto"/>
        </w:rPr>
        <w:t>The Group has exposure to the following risks from its use of financial instruments:</w:t>
      </w:r>
    </w:p>
    <w:p>
      <w:pPr>
        <w:spacing w:after="0" w:line="225" w:lineRule="exact"/>
        <w:rPr>
          <w:rFonts w:ascii="Arial" w:cs="Arial" w:eastAsia="Arial" w:hAnsi="Arial"/>
          <w:sz w:val="18"/>
          <w:szCs w:val="18"/>
          <w:b w:val="1"/>
          <w:bCs w:val="1"/>
          <w:color w:val="auto"/>
        </w:rPr>
      </w:pPr>
    </w:p>
    <w:p>
      <w:pPr>
        <w:ind w:left="2000" w:hanging="461"/>
        <w:spacing w:after="0"/>
        <w:tabs>
          <w:tab w:leader="none" w:pos="20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225" w:lineRule="exact"/>
        <w:rPr>
          <w:rFonts w:ascii="Arial" w:cs="Arial" w:eastAsia="Arial" w:hAnsi="Arial"/>
          <w:sz w:val="18"/>
          <w:szCs w:val="18"/>
          <w:color w:val="auto"/>
        </w:rPr>
      </w:pPr>
    </w:p>
    <w:p>
      <w:pPr>
        <w:ind w:left="2000" w:hanging="461"/>
        <w:spacing w:after="0"/>
        <w:tabs>
          <w:tab w:leader="none" w:pos="20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Liquidity risk</w:t>
      </w:r>
    </w:p>
    <w:p>
      <w:pPr>
        <w:spacing w:after="0" w:line="225" w:lineRule="exact"/>
        <w:rPr>
          <w:rFonts w:ascii="Arial" w:cs="Arial" w:eastAsia="Arial" w:hAnsi="Arial"/>
          <w:sz w:val="18"/>
          <w:szCs w:val="18"/>
          <w:color w:val="auto"/>
        </w:rPr>
      </w:pPr>
    </w:p>
    <w:p>
      <w:pPr>
        <w:ind w:left="2000" w:hanging="461"/>
        <w:spacing w:after="0"/>
        <w:tabs>
          <w:tab w:leader="none" w:pos="20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Market risk</w:t>
      </w:r>
    </w:p>
    <w:p>
      <w:pPr>
        <w:spacing w:after="0" w:line="225" w:lineRule="exact"/>
        <w:rPr>
          <w:sz w:val="20"/>
          <w:szCs w:val="20"/>
          <w:color w:val="auto"/>
        </w:rPr>
      </w:pPr>
    </w:p>
    <w:p>
      <w:pPr>
        <w:ind w:left="1540"/>
        <w:spacing w:after="0" w:line="277" w:lineRule="auto"/>
        <w:rPr>
          <w:sz w:val="20"/>
          <w:szCs w:val="20"/>
          <w:color w:val="auto"/>
        </w:rPr>
      </w:pPr>
      <w:r>
        <w:rPr>
          <w:rFonts w:ascii="Arial" w:cs="Arial" w:eastAsia="Arial" w:hAnsi="Arial"/>
          <w:sz w:val="18"/>
          <w:szCs w:val="18"/>
          <w:color w:val="auto"/>
        </w:rPr>
        <w:t>This note presents quantitative and qualitative information about the Group’s exposure to each of the above risks, and the Group’s objectives, policies and processes for measuring and managing risk.</w:t>
      </w:r>
    </w:p>
    <w:p>
      <w:pPr>
        <w:spacing w:after="0" w:line="170"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In order to manage these risks and as described hereunder, the Group executes transactions in derivative financial instruments.</w:t>
      </w:r>
    </w:p>
    <w:p>
      <w:pPr>
        <w:spacing w:after="0" w:line="3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Presented hereunder is the composition of the derivatives:</w:t>
      </w:r>
    </w:p>
    <w:p>
      <w:pPr>
        <w:spacing w:after="0" w:line="207" w:lineRule="exact"/>
        <w:rPr>
          <w:sz w:val="20"/>
          <w:szCs w:val="20"/>
          <w:color w:val="auto"/>
        </w:rPr>
      </w:pPr>
    </w:p>
    <w:tbl>
      <w:tblPr>
        <w:tblLayout w:type="fixed"/>
        <w:tblInd w:w="1620" w:type="dxa"/>
        <w:tblCellMar>
          <w:top w:w="0" w:type="dxa"/>
          <w:left w:w="0" w:type="dxa"/>
          <w:bottom w:w="0" w:type="dxa"/>
          <w:right w:w="0" w:type="dxa"/>
        </w:tblCellMar>
      </w:tblPr>
      <w:tr>
        <w:trPr>
          <w:trHeight w:val="241"/>
        </w:trPr>
        <w:tc>
          <w:tcPr>
            <w:tcW w:w="6320" w:type="dxa"/>
            <w:vAlign w:val="bottom"/>
          </w:tcPr>
          <w:p>
            <w:pPr>
              <w:spacing w:after="0"/>
              <w:rPr>
                <w:sz w:val="20"/>
                <w:szCs w:val="20"/>
                <w:color w:val="auto"/>
              </w:rPr>
            </w:pPr>
          </w:p>
        </w:tc>
        <w:tc>
          <w:tcPr>
            <w:tcW w:w="1860" w:type="dxa"/>
            <w:vAlign w:val="bottom"/>
            <w:gridSpan w:val="4"/>
          </w:tcPr>
          <w:p>
            <w:pPr>
              <w:ind w:left="3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6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r>
      <w:tr>
        <w:trPr>
          <w:trHeight w:val="223"/>
        </w:trPr>
        <w:tc>
          <w:tcPr>
            <w:tcW w:w="6320" w:type="dxa"/>
            <w:vAlign w:val="bottom"/>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USD</w:t>
            </w:r>
          </w:p>
        </w:tc>
        <w:tc>
          <w:tcPr>
            <w:tcW w:w="9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w w:val="72"/>
              </w:rPr>
              <w:t>thousands</w:t>
            </w:r>
          </w:p>
        </w:tc>
        <w:tc>
          <w:tcPr>
            <w:tcW w:w="80" w:type="dxa"/>
            <w:vAlign w:val="bottom"/>
          </w:tcPr>
          <w:p>
            <w:pPr>
              <w:spacing w:after="0"/>
              <w:rPr>
                <w:sz w:val="19"/>
                <w:szCs w:val="19"/>
                <w:color w:val="auto"/>
              </w:rPr>
            </w:pPr>
          </w:p>
        </w:tc>
      </w:tr>
      <w:tr>
        <w:trPr>
          <w:trHeight w:val="216"/>
        </w:trPr>
        <w:tc>
          <w:tcPr>
            <w:tcW w:w="6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presented under current assets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Forward exchange contracts used for hedging</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947</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836</w:t>
            </w:r>
          </w:p>
        </w:tc>
      </w:tr>
      <w:tr>
        <w:trPr>
          <w:trHeight w:val="216"/>
        </w:trPr>
        <w:tc>
          <w:tcPr>
            <w:tcW w:w="63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b w:val="1"/>
                <w:bCs w:val="1"/>
                <w:color w:val="auto"/>
              </w:rPr>
              <w:t>Derivatives presented under non-current assets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Forward exchange contracts used for hedging</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241</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1,335</w:t>
            </w:r>
          </w:p>
        </w:tc>
      </w:tr>
      <w:tr>
        <w:trPr>
          <w:trHeight w:val="216"/>
        </w:trPr>
        <w:tc>
          <w:tcPr>
            <w:tcW w:w="632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7"/>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1,188</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2,171</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1520" w:hanging="500"/>
        <w:spacing w:after="0"/>
        <w:tabs>
          <w:tab w:leader="none" w:pos="152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Risk management framework:</w:t>
      </w:r>
    </w:p>
    <w:p>
      <w:pPr>
        <w:spacing w:after="0" w:line="229" w:lineRule="exact"/>
        <w:rPr>
          <w:rFonts w:ascii="Arial" w:cs="Arial" w:eastAsia="Arial" w:hAnsi="Arial"/>
          <w:sz w:val="18"/>
          <w:szCs w:val="18"/>
          <w:b w:val="1"/>
          <w:bCs w:val="1"/>
          <w:color w:val="auto"/>
        </w:rPr>
      </w:pPr>
    </w:p>
    <w:p>
      <w:pPr>
        <w:ind w:left="1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Board of Directors has overall responsibility for the establishment and oversight of the Group’s risk management framework. The Board is responsible for developing and monitoring the Group’s risk management policies.</w:t>
      </w:r>
    </w:p>
    <w:p>
      <w:pPr>
        <w:spacing w:after="0" w:line="170" w:lineRule="exact"/>
        <w:rPr>
          <w:rFonts w:ascii="Arial" w:cs="Arial" w:eastAsia="Arial" w:hAnsi="Arial"/>
          <w:sz w:val="18"/>
          <w:szCs w:val="18"/>
          <w:b w:val="1"/>
          <w:bCs w:val="1"/>
          <w:color w:val="auto"/>
        </w:rPr>
      </w:pPr>
    </w:p>
    <w:p>
      <w:pPr>
        <w:jc w:val="both"/>
        <w:ind w:left="15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Group’s risk management policies are established to identify and analyze the risks faced by the Group, to set appropriate risk limits and controls, and to monitor risks and adherence to limits. Risk management policies and systems are reviewed regularly to reflect changes in market conditions and the Group’s activities. The Group, through its training and management of standards and procedures, aims to develop a disciplined and constructive control environment in which all employees understand their roles and obligations.</w:t>
      </w:r>
    </w:p>
    <w:p>
      <w:pPr>
        <w:spacing w:after="0" w:line="187" w:lineRule="exact"/>
        <w:rPr>
          <w:rFonts w:ascii="Arial" w:cs="Arial" w:eastAsia="Arial" w:hAnsi="Arial"/>
          <w:sz w:val="18"/>
          <w:szCs w:val="18"/>
          <w:b w:val="1"/>
          <w:bCs w:val="1"/>
          <w:color w:val="auto"/>
        </w:rPr>
      </w:pPr>
    </w:p>
    <w:p>
      <w:pPr>
        <w:jc w:val="both"/>
        <w:ind w:left="15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Audit Committee oversees how management monitors compliance with the Group’s risk management policies and procedures and reviews the adequacy of the risk management framework in relation to the risks faced by the Group. The Group Audit Committee is assisted in its oversight role by Internal Audit. Internal Audit undertakes both regular and ad hoc reviews of risk management controls and procedures, the results of which are reported to the Audit Committee.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18:</w:t>
        <w:tab/>
        <w:t>FINANCIAL INSTRUMENTS</w:t>
      </w:r>
    </w:p>
    <w:p>
      <w:pPr>
        <w:spacing w:after="0" w:line="225" w:lineRule="exact"/>
        <w:rPr>
          <w:sz w:val="20"/>
          <w:szCs w:val="20"/>
          <w:color w:val="auto"/>
        </w:rPr>
      </w:pPr>
    </w:p>
    <w:p>
      <w:pPr>
        <w:ind w:left="1520" w:hanging="500"/>
        <w:spacing w:after="0"/>
        <w:tabs>
          <w:tab w:leader="none" w:pos="152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229" w:lineRule="exact"/>
        <w:rPr>
          <w:rFonts w:ascii="Arial" w:cs="Arial" w:eastAsia="Arial" w:hAnsi="Arial"/>
          <w:sz w:val="18"/>
          <w:szCs w:val="18"/>
          <w:b w:val="1"/>
          <w:bCs w:val="1"/>
          <w:color w:val="auto"/>
        </w:rPr>
      </w:pPr>
    </w:p>
    <w:p>
      <w:pPr>
        <w:ind w:left="15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Group’s credit risk is arise from the risk of financial loss if a customer or counterparty to a financial instrument fails to meet its contractual obligations.</w:t>
      </w:r>
    </w:p>
    <w:p>
      <w:pPr>
        <w:spacing w:after="0" w:line="166" w:lineRule="exact"/>
        <w:rPr>
          <w:rFonts w:ascii="Arial" w:cs="Arial" w:eastAsia="Arial" w:hAnsi="Arial"/>
          <w:sz w:val="18"/>
          <w:szCs w:val="18"/>
          <w:b w:val="1"/>
          <w:bCs w:val="1"/>
          <w:color w:val="auto"/>
        </w:rPr>
      </w:pPr>
    </w:p>
    <w:p>
      <w:pPr>
        <w:ind w:left="1520" w:hanging="500"/>
        <w:spacing w:after="0"/>
        <w:tabs>
          <w:tab w:leader="none" w:pos="152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Exposure to credit risk</w:t>
      </w:r>
    </w:p>
    <w:p>
      <w:pPr>
        <w:spacing w:after="0" w:line="229" w:lineRule="exact"/>
        <w:rPr>
          <w:rFonts w:ascii="Arial" w:cs="Arial" w:eastAsia="Arial" w:hAnsi="Arial"/>
          <w:sz w:val="18"/>
          <w:szCs w:val="18"/>
          <w:b w:val="1"/>
          <w:bCs w:val="1"/>
          <w:color w:val="auto"/>
        </w:rPr>
      </w:pPr>
    </w:p>
    <w:p>
      <w:pPr>
        <w:ind w:left="1540" w:right="3860"/>
        <w:spacing w:after="0" w:line="560" w:lineRule="auto"/>
        <w:rPr>
          <w:rFonts w:ascii="Arial" w:cs="Arial" w:eastAsia="Arial" w:hAnsi="Arial"/>
          <w:sz w:val="18"/>
          <w:szCs w:val="18"/>
          <w:b w:val="1"/>
          <w:bCs w:val="1"/>
          <w:color w:val="auto"/>
        </w:rPr>
      </w:pPr>
      <w:r>
        <w:rPr>
          <w:rFonts w:ascii="Arial" w:cs="Arial" w:eastAsia="Arial" w:hAnsi="Arial"/>
          <w:sz w:val="16"/>
          <w:szCs w:val="16"/>
          <w:color w:val="auto"/>
        </w:rPr>
        <w:t>The carrying amount of financial assets represents the maximum credit exposure. The maximum exposure to credit risk at the reporting date was as follows:</w:t>
      </w:r>
    </w:p>
    <w:p>
      <w:pPr>
        <w:spacing w:after="0" w:line="1" w:lineRule="exact"/>
        <w:rPr>
          <w:sz w:val="20"/>
          <w:szCs w:val="20"/>
          <w:color w:val="auto"/>
        </w:rPr>
      </w:pPr>
    </w:p>
    <w:tbl>
      <w:tblPr>
        <w:tblLayout w:type="fixed"/>
        <w:tblInd w:w="1620" w:type="dxa"/>
        <w:tblCellMar>
          <w:top w:w="0" w:type="dxa"/>
          <w:left w:w="0" w:type="dxa"/>
          <w:bottom w:w="0" w:type="dxa"/>
          <w:right w:w="0" w:type="dxa"/>
        </w:tblCellMar>
      </w:tblPr>
      <w:tr>
        <w:trPr>
          <w:trHeight w:val="241"/>
        </w:trPr>
        <w:tc>
          <w:tcPr>
            <w:tcW w:w="6320" w:type="dxa"/>
            <w:vAlign w:val="bottom"/>
          </w:tcPr>
          <w:p>
            <w:pPr>
              <w:spacing w:after="0"/>
              <w:rPr>
                <w:sz w:val="20"/>
                <w:szCs w:val="20"/>
                <w:color w:val="auto"/>
              </w:rPr>
            </w:pPr>
          </w:p>
        </w:tc>
        <w:tc>
          <w:tcPr>
            <w:tcW w:w="1860" w:type="dxa"/>
            <w:vAlign w:val="bottom"/>
            <w:gridSpan w:val="4"/>
          </w:tcPr>
          <w:p>
            <w:pPr>
              <w:ind w:left="3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6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r>
      <w:tr>
        <w:trPr>
          <w:trHeight w:val="223"/>
        </w:trPr>
        <w:tc>
          <w:tcPr>
            <w:tcW w:w="6320" w:type="dxa"/>
            <w:vAlign w:val="bottom"/>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USD</w:t>
            </w:r>
          </w:p>
        </w:tc>
        <w:tc>
          <w:tcPr>
            <w:tcW w:w="9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w w:val="72"/>
              </w:rPr>
              <w:t>thousands</w:t>
            </w:r>
          </w:p>
        </w:tc>
        <w:tc>
          <w:tcPr>
            <w:tcW w:w="80" w:type="dxa"/>
            <w:vAlign w:val="bottom"/>
          </w:tcPr>
          <w:p>
            <w:pPr>
              <w:spacing w:after="0"/>
              <w:rPr>
                <w:sz w:val="19"/>
                <w:szCs w:val="19"/>
                <w:color w:val="auto"/>
              </w:rPr>
            </w:pPr>
          </w:p>
        </w:tc>
      </w:tr>
      <w:tr>
        <w:trPr>
          <w:trHeight w:val="216"/>
        </w:trPr>
        <w:tc>
          <w:tcPr>
            <w:tcW w:w="632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367,717</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97,463</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Trade receivables, net (a)</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165,063</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153,544</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4,076</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2,379</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Long term deposit</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431</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499</w:t>
            </w:r>
          </w:p>
        </w:tc>
      </w:tr>
      <w:tr>
        <w:trPr>
          <w:trHeight w:val="223"/>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Long term receivables</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241</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1,335</w:t>
            </w:r>
          </w:p>
        </w:tc>
      </w:tr>
      <w:tr>
        <w:trPr>
          <w:trHeight w:val="216"/>
        </w:trPr>
        <w:tc>
          <w:tcPr>
            <w:tcW w:w="632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7"/>
        </w:trPr>
        <w:tc>
          <w:tcPr>
            <w:tcW w:w="63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537,528</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255,220</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left="2040" w:hanging="507"/>
        <w:spacing w:after="0" w:line="263" w:lineRule="auto"/>
        <w:tabs>
          <w:tab w:leader="none" w:pos="20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At December 31, 2021, the Group included provision for doubtful debts in the amount of USD 13,870 thousand (December 31, 2020: USD 9,036 thousand) in respect of collective impairment provision and specific debtors that their collectability is in doubt.</w:t>
      </w:r>
    </w:p>
    <w:p>
      <w:pPr>
        <w:spacing w:after="0" w:line="183" w:lineRule="exact"/>
        <w:rPr>
          <w:rFonts w:ascii="Arial" w:cs="Arial" w:eastAsia="Arial" w:hAnsi="Arial"/>
          <w:sz w:val="18"/>
          <w:szCs w:val="18"/>
          <w:color w:val="auto"/>
        </w:rPr>
      </w:pPr>
    </w:p>
    <w:p>
      <w:pPr>
        <w:ind w:left="204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2021, two buyers accounted for 17.1% and 16.9% of trade receivables. As of December 31, 2020, one buyer accounted for 17.5% of trade receivables.</w:t>
      </w:r>
    </w:p>
    <w:p>
      <w:pPr>
        <w:spacing w:after="0" w:line="166"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86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Allowance for</w:t>
            </w:r>
          </w:p>
        </w:tc>
      </w:tr>
      <w:tr>
        <w:trPr>
          <w:trHeight w:val="241"/>
        </w:trPr>
        <w:tc>
          <w:tcPr>
            <w:tcW w:w="6320" w:type="dxa"/>
            <w:vAlign w:val="bottom"/>
          </w:tcPr>
          <w:p>
            <w:pPr>
              <w:spacing w:after="0"/>
              <w:rPr>
                <w:sz w:val="20"/>
                <w:szCs w:val="20"/>
                <w:color w:val="auto"/>
              </w:rPr>
            </w:pPr>
          </w:p>
        </w:tc>
        <w:tc>
          <w:tcPr>
            <w:tcW w:w="1860" w:type="dxa"/>
            <w:vAlign w:val="bottom"/>
            <w:gridSpan w:val="4"/>
          </w:tcPr>
          <w:p>
            <w:pPr>
              <w:ind w:left="320"/>
              <w:spacing w:after="0"/>
              <w:rPr>
                <w:sz w:val="20"/>
                <w:szCs w:val="20"/>
                <w:color w:val="auto"/>
              </w:rPr>
            </w:pPr>
            <w:r>
              <w:rPr>
                <w:rFonts w:ascii="Arial" w:cs="Arial" w:eastAsia="Arial" w:hAnsi="Arial"/>
                <w:sz w:val="18"/>
                <w:szCs w:val="18"/>
                <w:b w:val="1"/>
                <w:bCs w:val="1"/>
                <w:color w:val="auto"/>
              </w:rPr>
              <w:t>Doubtful debts</w:t>
            </w:r>
          </w:p>
        </w:tc>
      </w:tr>
      <w:tr>
        <w:trPr>
          <w:trHeight w:val="223"/>
        </w:trPr>
        <w:tc>
          <w:tcPr>
            <w:tcW w:w="6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r>
      <w:tr>
        <w:trPr>
          <w:trHeight w:val="223"/>
        </w:trPr>
        <w:tc>
          <w:tcPr>
            <w:tcW w:w="6320" w:type="dxa"/>
            <w:vAlign w:val="bottom"/>
          </w:tcPr>
          <w:p>
            <w:pPr>
              <w:spacing w:after="0"/>
              <w:rPr>
                <w:sz w:val="19"/>
                <w:szCs w:val="19"/>
                <w:color w:val="auto"/>
              </w:rPr>
            </w:pPr>
          </w:p>
        </w:tc>
        <w:tc>
          <w:tcPr>
            <w:tcW w:w="8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USD</w:t>
            </w:r>
          </w:p>
        </w:tc>
        <w:tc>
          <w:tcPr>
            <w:tcW w:w="9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w w:val="72"/>
              </w:rPr>
              <w:t>thousands</w:t>
            </w:r>
          </w:p>
        </w:tc>
        <w:tc>
          <w:tcPr>
            <w:tcW w:w="80" w:type="dxa"/>
            <w:vAlign w:val="bottom"/>
          </w:tcPr>
          <w:p>
            <w:pPr>
              <w:spacing w:after="0"/>
              <w:rPr>
                <w:sz w:val="19"/>
                <w:szCs w:val="19"/>
                <w:color w:val="auto"/>
              </w:rPr>
            </w:pPr>
          </w:p>
        </w:tc>
      </w:tr>
      <w:tr>
        <w:trPr>
          <w:trHeight w:val="216"/>
        </w:trPr>
        <w:tc>
          <w:tcPr>
            <w:tcW w:w="632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9,036</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22,376</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Business combination</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1,201</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debts expenses</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4,958</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(1,091)</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Write-off</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(93)</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(13,397)</w:t>
            </w:r>
          </w:p>
        </w:tc>
      </w:tr>
      <w:tr>
        <w:trPr>
          <w:trHeight w:val="223"/>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Exchange rate difference</w:t>
            </w: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r>
      <w:tr>
        <w:trPr>
          <w:trHeight w:val="216"/>
        </w:trPr>
        <w:tc>
          <w:tcPr>
            <w:tcW w:w="632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7"/>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13,870</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9,036</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1520" w:hanging="500"/>
        <w:spacing w:after="0"/>
        <w:tabs>
          <w:tab w:leader="none" w:pos="152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risk:</w:t>
      </w:r>
    </w:p>
    <w:p>
      <w:pPr>
        <w:spacing w:after="0" w:line="229" w:lineRule="exact"/>
        <w:rPr>
          <w:rFonts w:ascii="Arial" w:cs="Arial" w:eastAsia="Arial" w:hAnsi="Arial"/>
          <w:sz w:val="18"/>
          <w:szCs w:val="18"/>
          <w:b w:val="1"/>
          <w:bCs w:val="1"/>
          <w:color w:val="auto"/>
        </w:rPr>
      </w:pPr>
    </w:p>
    <w:p>
      <w:pPr>
        <w:jc w:val="both"/>
        <w:ind w:left="15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Liquidity risk is the risk that the Group will encounter difficulty in meeting the obligations associated with its financial liabilities that are settled by delivering cash or another financial asset. The Group’s approach to managing liquidity is to ensure, as far as possible, that it has sufficient liquidity to meet its liabilities when due, under both normal and stressed conditions, without incurring unacceptable losses or risking damage to the Group’s reputation.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18:</w:t>
        <w:tab/>
        <w:t>FINANCIAL INSTRUMENTS (Cont.)</w:t>
      </w:r>
    </w:p>
    <w:p>
      <w:pPr>
        <w:spacing w:after="0" w:line="229" w:lineRule="exact"/>
        <w:rPr>
          <w:sz w:val="20"/>
          <w:szCs w:val="20"/>
          <w:color w:val="auto"/>
        </w:rPr>
      </w:pPr>
    </w:p>
    <w:p>
      <w:pPr>
        <w:jc w:val="both"/>
        <w:ind w:left="1540"/>
        <w:spacing w:after="0" w:line="259" w:lineRule="auto"/>
        <w:rPr>
          <w:sz w:val="20"/>
          <w:szCs w:val="20"/>
          <w:color w:val="auto"/>
        </w:rPr>
      </w:pPr>
      <w:r>
        <w:rPr>
          <w:rFonts w:ascii="Arial" w:cs="Arial" w:eastAsia="Arial" w:hAnsi="Arial"/>
          <w:sz w:val="18"/>
          <w:szCs w:val="18"/>
          <w:color w:val="auto"/>
        </w:rPr>
        <w:t>As of December 31, 2021, and December 31, 2020, the Group’s contractual obligation of financial liability is in respect of leases, trade, and other payables in the amount of USD 193,213 thousand and USD 161,875 thousand, respectively. The contractual maturity of the financial liability that is less than one year is in the amount of USD 185,337 thousand and USD 147,243 thousand for December 31, 2021, and December 31, 2020, respectively.</w:t>
      </w:r>
    </w:p>
    <w:p>
      <w:pPr>
        <w:spacing w:after="0" w:line="183" w:lineRule="exact"/>
        <w:rPr>
          <w:sz w:val="20"/>
          <w:szCs w:val="20"/>
          <w:color w:val="auto"/>
        </w:rPr>
      </w:pPr>
    </w:p>
    <w:p>
      <w:pPr>
        <w:ind w:left="1520" w:hanging="500"/>
        <w:spacing w:after="0"/>
        <w:tabs>
          <w:tab w:leader="none" w:pos="152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Market risk:</w:t>
      </w:r>
    </w:p>
    <w:p>
      <w:pPr>
        <w:spacing w:after="0" w:line="229" w:lineRule="exact"/>
        <w:rPr>
          <w:rFonts w:ascii="Arial" w:cs="Arial" w:eastAsia="Arial" w:hAnsi="Arial"/>
          <w:sz w:val="18"/>
          <w:szCs w:val="18"/>
          <w:b w:val="1"/>
          <w:bCs w:val="1"/>
          <w:color w:val="auto"/>
        </w:rPr>
      </w:pPr>
    </w:p>
    <w:p>
      <w:pPr>
        <w:jc w:val="both"/>
        <w:ind w:left="1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Market risk is the risk that changes in market prices, such as foreign exchange rates, the CPM, interest rates and equity prices will affect the Group’s income or the value of its holdings of financial instruments. The objective of market risk management is to manage and control market risk exposures within acceptable parameters, while optimizing the return.</w:t>
      </w:r>
    </w:p>
    <w:p>
      <w:pPr>
        <w:spacing w:after="0" w:line="183" w:lineRule="exact"/>
        <w:rPr>
          <w:rFonts w:ascii="Arial" w:cs="Arial" w:eastAsia="Arial" w:hAnsi="Arial"/>
          <w:sz w:val="18"/>
          <w:szCs w:val="18"/>
          <w:b w:val="1"/>
          <w:bCs w:val="1"/>
          <w:color w:val="auto"/>
        </w:rPr>
      </w:pPr>
    </w:p>
    <w:p>
      <w:pPr>
        <w:jc w:val="both"/>
        <w:ind w:left="15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At December 31, 2021, USD 8,118 thousand are held in JPY, USD 7,099 thousand are held in AUD, USD 5,653 thousand are held in GBP, USD 4,866 thousand are held in EUR, USD 1,287 thousand are held in CAD, USD 899 thousand are held in SGD, USD 513 thousand are held in MXN, USD 247 thousand are held in NIS, USD 976 thousand are held in other currencies and the remainder held in USD.</w:t>
      </w:r>
    </w:p>
    <w:p>
      <w:pPr>
        <w:spacing w:after="0" w:line="182" w:lineRule="exact"/>
        <w:rPr>
          <w:rFonts w:ascii="Arial" w:cs="Arial" w:eastAsia="Arial" w:hAnsi="Arial"/>
          <w:sz w:val="18"/>
          <w:szCs w:val="18"/>
          <w:b w:val="1"/>
          <w:bCs w:val="1"/>
          <w:color w:val="auto"/>
        </w:rPr>
      </w:pPr>
    </w:p>
    <w:p>
      <w:pPr>
        <w:ind w:left="1520" w:hanging="500"/>
        <w:spacing w:after="0"/>
        <w:tabs>
          <w:tab w:leader="none" w:pos="152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Sensitivity analysis:</w:t>
      </w:r>
    </w:p>
    <w:p>
      <w:pPr>
        <w:spacing w:after="0" w:line="229" w:lineRule="exact"/>
        <w:rPr>
          <w:rFonts w:ascii="Arial" w:cs="Arial" w:eastAsia="Arial" w:hAnsi="Arial"/>
          <w:sz w:val="18"/>
          <w:szCs w:val="18"/>
          <w:b w:val="1"/>
          <w:bCs w:val="1"/>
          <w:color w:val="auto"/>
        </w:rPr>
      </w:pPr>
    </w:p>
    <w:p>
      <w:pPr>
        <w:jc w:val="both"/>
        <w:ind w:left="15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A change as of December 31 in the exchange rates of the following currencies against the USD, as indicated below would have affected the measurement of financial instruments denominated in a foreign currency and would have increased (decreased) profit or loss and equity by the amounts shown below (after tax). This analysis is based on foreign currency exchange rate that the Group considered to be reasonably possible at the end of the reporting period. The analysis assumes that all other variables, in particular interest rates, remain constant and ignores any impact of forecasted sales and purchases.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9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3"/>
        </w:trPr>
        <w:tc>
          <w:tcPr>
            <w:tcW w:w="16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GBP/USD</w:t>
            </w:r>
          </w:p>
        </w:tc>
        <w:tc>
          <w:tcPr>
            <w:tcW w:w="8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w:t>
            </w: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w:t>
            </w:r>
          </w:p>
        </w:tc>
        <w:tc>
          <w:tcPr>
            <w:tcW w:w="1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w:t>
            </w: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3"/>
        </w:trPr>
        <w:tc>
          <w:tcPr>
            <w:tcW w:w="16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USD</w:t>
            </w:r>
          </w:p>
        </w:tc>
        <w:tc>
          <w:tcPr>
            <w:tcW w:w="9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w w:val="70"/>
              </w:rPr>
              <w:t>thousands</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16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80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Profit / (Loss)</w:t>
            </w: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(2,587)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2,587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2,853</w:t>
            </w:r>
          </w:p>
        </w:tc>
        <w:tc>
          <w:tcPr>
            <w:tcW w:w="1440" w:type="dxa"/>
            <w:vAlign w:val="bottom"/>
          </w:tcPr>
          <w:p>
            <w:pPr>
              <w:spacing w:after="0"/>
              <w:rPr>
                <w:sz w:val="18"/>
                <w:szCs w:val="18"/>
                <w:color w:val="auto"/>
              </w:rPr>
            </w:pPr>
          </w:p>
        </w:tc>
      </w:tr>
      <w:tr>
        <w:trPr>
          <w:trHeight w:val="230"/>
        </w:trPr>
        <w:tc>
          <w:tcPr>
            <w:tcW w:w="16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w w:val="96"/>
              </w:rPr>
              <w:t>Increase / (Decrease) in Shareholders’ Equity</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(379)</w:t>
            </w:r>
          </w:p>
        </w:tc>
        <w:tc>
          <w:tcPr>
            <w:tcW w:w="160" w:type="dxa"/>
            <w:vAlign w:val="bottom"/>
          </w:tcPr>
          <w:p>
            <w:pPr>
              <w:spacing w:after="0"/>
              <w:rPr>
                <w:sz w:val="20"/>
                <w:szCs w:val="20"/>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379</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528</w:t>
            </w:r>
          </w:p>
        </w:tc>
        <w:tc>
          <w:tcPr>
            <w:tcW w:w="18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(528)</w:t>
            </w:r>
          </w:p>
        </w:tc>
        <w:tc>
          <w:tcPr>
            <w:tcW w:w="1440" w:type="dxa"/>
            <w:vAlign w:val="bottom"/>
          </w:tcPr>
          <w:p>
            <w:pPr>
              <w:spacing w:after="0"/>
              <w:rPr>
                <w:sz w:val="20"/>
                <w:szCs w:val="20"/>
                <w:color w:val="auto"/>
              </w:rPr>
            </w:pPr>
          </w:p>
        </w:tc>
      </w:tr>
      <w:tr>
        <w:trPr>
          <w:trHeight w:val="425"/>
        </w:trPr>
        <w:tc>
          <w:tcPr>
            <w:tcW w:w="16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9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3"/>
        </w:trPr>
        <w:tc>
          <w:tcPr>
            <w:tcW w:w="16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NIS/USD</w:t>
            </w:r>
          </w:p>
        </w:tc>
        <w:tc>
          <w:tcPr>
            <w:tcW w:w="8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w:t>
            </w: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w:t>
            </w:r>
          </w:p>
        </w:tc>
        <w:tc>
          <w:tcPr>
            <w:tcW w:w="1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w:t>
            </w: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3"/>
        </w:trPr>
        <w:tc>
          <w:tcPr>
            <w:tcW w:w="16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USD</w:t>
            </w:r>
          </w:p>
        </w:tc>
        <w:tc>
          <w:tcPr>
            <w:tcW w:w="9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w w:val="70"/>
              </w:rPr>
              <w:t>thousands</w:t>
            </w:r>
          </w:p>
        </w:tc>
        <w:tc>
          <w:tcPr>
            <w:tcW w:w="340" w:type="dxa"/>
            <w:vAlign w:val="bottom"/>
            <w:tcBorders>
              <w:bottom w:val="single" w:sz="8" w:color="auto"/>
            </w:tcBorders>
            <w:gridSpan w:val="2"/>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16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80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Profit / (Loss)</w:t>
            </w: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721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w:t>
            </w:r>
          </w:p>
        </w:tc>
        <w:tc>
          <w:tcPr>
            <w:tcW w:w="1440" w:type="dxa"/>
            <w:vAlign w:val="bottom"/>
          </w:tcPr>
          <w:p>
            <w:pPr>
              <w:spacing w:after="0"/>
              <w:rPr>
                <w:sz w:val="18"/>
                <w:szCs w:val="18"/>
                <w:color w:val="auto"/>
              </w:rPr>
            </w:pPr>
          </w:p>
        </w:tc>
      </w:tr>
      <w:tr>
        <w:trPr>
          <w:trHeight w:val="230"/>
        </w:trPr>
        <w:tc>
          <w:tcPr>
            <w:tcW w:w="16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w w:val="96"/>
              </w:rPr>
              <w:t>Increase / (Decrease) in Shareholders’ Equity</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(721)</w:t>
            </w:r>
          </w:p>
        </w:tc>
        <w:tc>
          <w:tcPr>
            <w:tcW w:w="160" w:type="dxa"/>
            <w:vAlign w:val="bottom"/>
          </w:tcPr>
          <w:p>
            <w:pPr>
              <w:spacing w:after="0"/>
              <w:rPr>
                <w:sz w:val="20"/>
                <w:szCs w:val="20"/>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721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18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387</w:t>
            </w:r>
          </w:p>
        </w:tc>
        <w:tc>
          <w:tcPr>
            <w:tcW w:w="1440" w:type="dxa"/>
            <w:vAlign w:val="bottom"/>
          </w:tcPr>
          <w:p>
            <w:pPr>
              <w:spacing w:after="0"/>
              <w:rPr>
                <w:sz w:val="20"/>
                <w:szCs w:val="20"/>
                <w:color w:val="auto"/>
              </w:rPr>
            </w:pPr>
          </w:p>
        </w:tc>
      </w:tr>
      <w:tr>
        <w:trPr>
          <w:trHeight w:val="418"/>
        </w:trPr>
        <w:tc>
          <w:tcPr>
            <w:tcW w:w="16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960" w:type="dxa"/>
            <w:vAlign w:val="bottom"/>
            <w:gridSpan w:val="4"/>
          </w:tcPr>
          <w:p>
            <w:pPr>
              <w:jc w:val="right"/>
              <w:ind w:right="1280"/>
              <w:spacing w:after="0"/>
              <w:rPr>
                <w:sz w:val="20"/>
                <w:szCs w:val="20"/>
                <w:color w:val="auto"/>
              </w:rPr>
            </w:pPr>
            <w:r>
              <w:rPr>
                <w:rFonts w:ascii="Arial" w:cs="Arial" w:eastAsia="Arial" w:hAnsi="Arial"/>
                <w:sz w:val="18"/>
                <w:szCs w:val="18"/>
                <w:color w:val="auto"/>
              </w:rPr>
              <w:t>F - 50</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61"/>
        </w:trPr>
        <w:tc>
          <w:tcPr>
            <w:tcW w:w="1620" w:type="dxa"/>
            <w:vAlign w:val="bottom"/>
            <w:tcBorders>
              <w:bottom w:val="single" w:sz="8" w:color="auto"/>
            </w:tcBorders>
          </w:tcPr>
          <w:p>
            <w:pPr>
              <w:spacing w:after="0"/>
              <w:rPr>
                <w:sz w:val="5"/>
                <w:szCs w:val="5"/>
                <w:color w:val="auto"/>
              </w:rPr>
            </w:pPr>
          </w:p>
        </w:tc>
        <w:tc>
          <w:tcPr>
            <w:tcW w:w="35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297" w:right="3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18:</w:t>
        <w:tab/>
        <w:t>FINANCIAL INSTRUMENTS (Cont.)</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Linkage and foreign currency risks</w:t>
      </w:r>
    </w:p>
    <w:p>
      <w:pPr>
        <w:spacing w:after="0" w:line="229" w:lineRule="exact"/>
        <w:rPr>
          <w:sz w:val="20"/>
          <w:szCs w:val="20"/>
          <w:color w:val="auto"/>
        </w:rPr>
      </w:pPr>
    </w:p>
    <w:p>
      <w:pPr>
        <w:ind w:left="1540"/>
        <w:spacing w:after="0"/>
        <w:rPr>
          <w:sz w:val="20"/>
          <w:szCs w:val="20"/>
          <w:color w:val="auto"/>
        </w:rPr>
      </w:pPr>
      <w:r>
        <w:rPr>
          <w:rFonts w:ascii="Arial" w:cs="Arial" w:eastAsia="Arial" w:hAnsi="Arial"/>
          <w:sz w:val="18"/>
          <w:szCs w:val="18"/>
          <w:b w:val="1"/>
          <w:bCs w:val="1"/>
          <w:i w:val="1"/>
          <w:iCs w:val="1"/>
          <w:color w:val="auto"/>
        </w:rPr>
        <w:t>Currency risk</w:t>
      </w:r>
    </w:p>
    <w:p>
      <w:pPr>
        <w:spacing w:after="0" w:line="225" w:lineRule="exact"/>
        <w:rPr>
          <w:sz w:val="20"/>
          <w:szCs w:val="20"/>
          <w:color w:val="auto"/>
        </w:rPr>
      </w:pPr>
    </w:p>
    <w:p>
      <w:pPr>
        <w:jc w:val="both"/>
        <w:ind w:left="1540"/>
        <w:spacing w:after="0" w:line="263" w:lineRule="auto"/>
        <w:rPr>
          <w:sz w:val="20"/>
          <w:szCs w:val="20"/>
          <w:color w:val="auto"/>
        </w:rPr>
      </w:pPr>
      <w:r>
        <w:rPr>
          <w:rFonts w:ascii="Arial" w:cs="Arial" w:eastAsia="Arial" w:hAnsi="Arial"/>
          <w:sz w:val="18"/>
          <w:szCs w:val="18"/>
          <w:color w:val="auto"/>
        </w:rPr>
        <w:t>The Group is not exposed to currency risk on sales and purchases that are denominated in a currency other than the respective functional currency of the Group, the USD. The principal currencies in which these transactions are denominated are GBP, NIS, Euro, CAD, SGD, MXN, AUD and JPY.</w:t>
      </w:r>
    </w:p>
    <w:p>
      <w:pPr>
        <w:spacing w:after="0" w:line="184" w:lineRule="exact"/>
        <w:rPr>
          <w:sz w:val="20"/>
          <w:szCs w:val="20"/>
          <w:color w:val="auto"/>
        </w:rPr>
      </w:pPr>
    </w:p>
    <w:p>
      <w:pPr>
        <w:jc w:val="both"/>
        <w:ind w:left="1540" w:right="20"/>
        <w:spacing w:after="0" w:line="258" w:lineRule="auto"/>
        <w:rPr>
          <w:sz w:val="20"/>
          <w:szCs w:val="20"/>
          <w:color w:val="auto"/>
        </w:rPr>
      </w:pPr>
      <w:r>
        <w:rPr>
          <w:rFonts w:ascii="Arial" w:cs="Arial" w:eastAsia="Arial" w:hAnsi="Arial"/>
          <w:sz w:val="18"/>
          <w:szCs w:val="18"/>
          <w:color w:val="auto"/>
        </w:rPr>
        <w:t>At any point in time, the Group aims to match the amounts of its assets and liabilities in the same currency in order to hedge the exposure to changes in currency.</w:t>
      </w:r>
    </w:p>
    <w:p>
      <w:pPr>
        <w:spacing w:after="0" w:line="1" w:lineRule="exact"/>
        <w:rPr>
          <w:sz w:val="20"/>
          <w:szCs w:val="20"/>
          <w:color w:val="auto"/>
        </w:rPr>
      </w:pPr>
    </w:p>
    <w:p>
      <w:pPr>
        <w:jc w:val="both"/>
        <w:ind w:left="1540" w:right="20"/>
        <w:spacing w:after="0" w:line="323" w:lineRule="auto"/>
        <w:rPr>
          <w:sz w:val="20"/>
          <w:szCs w:val="20"/>
          <w:color w:val="auto"/>
        </w:rPr>
      </w:pPr>
      <w:r>
        <w:rPr>
          <w:rFonts w:ascii="Arial" w:cs="Arial" w:eastAsia="Arial" w:hAnsi="Arial"/>
          <w:sz w:val="16"/>
          <w:szCs w:val="16"/>
          <w:color w:val="auto"/>
        </w:rPr>
        <w:t>In respect of other monetary assets and liabilities denominated in foreign currencies, the Group ensures that its net exposure is kept to an acceptable level by buying or selling foreign currencies at spot rates when necessary to address short-term imbalances.</w:t>
      </w:r>
    </w:p>
    <w:p>
      <w:pPr>
        <w:spacing w:after="0" w:line="1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7"/>
          <w:szCs w:val="17"/>
          <w:b w:val="1"/>
          <w:bCs w:val="1"/>
          <w:color w:val="auto"/>
        </w:rPr>
        <w:t>RELATED PARTIES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Compensation and benefits to key management personnel</w:t>
      </w:r>
    </w:p>
    <w:p>
      <w:pPr>
        <w:spacing w:after="0" w:line="229"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Executive officers also participate in the Company’s share option programs. For further information see Note 17 regarding share-based compensation.</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Compensation and benefits to key management personnel (including directors) that are employed by the Company and its subsidiaries: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Year ended</w:t>
            </w:r>
          </w:p>
        </w:tc>
        <w:tc>
          <w:tcPr>
            <w:tcW w:w="1520" w:type="dxa"/>
            <w:vAlign w:val="bottom"/>
          </w:tcPr>
          <w:p>
            <w:pPr>
              <w:spacing w:after="0"/>
              <w:rPr>
                <w:sz w:val="18"/>
                <w:szCs w:val="18"/>
                <w:color w:val="auto"/>
              </w:rPr>
            </w:pPr>
          </w:p>
        </w:tc>
      </w:tr>
      <w:tr>
        <w:trPr>
          <w:trHeight w:val="241"/>
        </w:trPr>
        <w:tc>
          <w:tcPr>
            <w:tcW w:w="11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96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9"/>
              </w:rPr>
              <w:t>December 31</w:t>
            </w:r>
          </w:p>
        </w:tc>
        <w:tc>
          <w:tcPr>
            <w:tcW w:w="152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USD</w:t>
            </w:r>
          </w:p>
        </w:tc>
        <w:tc>
          <w:tcPr>
            <w:tcW w:w="10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w w:val="70"/>
              </w:rPr>
              <w:t>thousands</w:t>
            </w: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18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43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31,283</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7,061</w:t>
            </w:r>
          </w:p>
        </w:tc>
        <w:tc>
          <w:tcPr>
            <w:tcW w:w="1520" w:type="dxa"/>
            <w:vAlign w:val="bottom"/>
          </w:tcPr>
          <w:p>
            <w:pPr>
              <w:spacing w:after="0"/>
              <w:rPr>
                <w:sz w:val="18"/>
                <w:szCs w:val="18"/>
                <w:color w:val="auto"/>
              </w:rPr>
            </w:pPr>
          </w:p>
        </w:tc>
      </w:tr>
      <w:tr>
        <w:trPr>
          <w:trHeight w:val="223"/>
        </w:trPr>
        <w:tc>
          <w:tcPr>
            <w:tcW w:w="114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compensation and benefits</w:t>
            </w:r>
          </w:p>
        </w:tc>
        <w:tc>
          <w:tcPr>
            <w:tcW w:w="330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6,752</w:t>
            </w:r>
          </w:p>
        </w:tc>
        <w:tc>
          <w:tcPr>
            <w:tcW w:w="1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w:t>
            </w: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4320" w:type="dxa"/>
            <w:vAlign w:val="bottom"/>
            <w:gridSpan w:val="4"/>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38,035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10,993</w:t>
            </w:r>
          </w:p>
        </w:tc>
        <w:tc>
          <w:tcPr>
            <w:tcW w:w="15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26"/>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320" w:type="dxa"/>
            <w:vAlign w:val="bottom"/>
            <w:gridSpan w:val="4"/>
          </w:tcPr>
          <w:p>
            <w:pPr>
              <w:ind w:left="940"/>
              <w:spacing w:after="0"/>
              <w:rPr>
                <w:sz w:val="20"/>
                <w:szCs w:val="20"/>
                <w:color w:val="auto"/>
              </w:rPr>
            </w:pPr>
            <w:r>
              <w:rPr>
                <w:rFonts w:ascii="Arial" w:cs="Arial" w:eastAsia="Arial" w:hAnsi="Arial"/>
                <w:sz w:val="18"/>
                <w:szCs w:val="18"/>
                <w:color w:val="auto"/>
              </w:rPr>
              <w:t>F - 51</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61"/>
        </w:trPr>
        <w:tc>
          <w:tcPr>
            <w:tcW w:w="114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3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297" w:right="339" w:bottom="1440" w:gutter="0" w:footer="0" w:header="0"/>
        </w:sectPr>
      </w:pPr>
    </w:p>
    <w:bookmarkStart w:id="168" w:name="page169"/>
    <w:bookmarkEnd w:id="168"/>
    <w:p>
      <w:pPr>
        <w:jc w:val="center"/>
        <w:ind w:right="-479"/>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7"/>
          <w:szCs w:val="17"/>
          <w:b w:val="1"/>
          <w:bCs w:val="1"/>
          <w:color w:val="auto"/>
        </w:rPr>
        <w:t>SUBSIDIARIES</w:t>
      </w:r>
    </w:p>
    <w:p>
      <w:pPr>
        <w:spacing w:after="0" w:line="225" w:lineRule="exact"/>
        <w:rPr>
          <w:sz w:val="20"/>
          <w:szCs w:val="20"/>
          <w:color w:val="auto"/>
        </w:rPr>
      </w:pPr>
    </w:p>
    <w:p>
      <w:pPr>
        <w:ind w:left="1520" w:hanging="500"/>
        <w:spacing w:after="0"/>
        <w:tabs>
          <w:tab w:leader="none" w:pos="152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Details in respect of subsidiaries:</w:t>
      </w:r>
    </w:p>
    <w:p>
      <w:pPr>
        <w:spacing w:after="0" w:line="229" w:lineRule="exact"/>
        <w:rPr>
          <w:rFonts w:ascii="Arial" w:cs="Arial" w:eastAsia="Arial" w:hAnsi="Arial"/>
          <w:sz w:val="18"/>
          <w:szCs w:val="18"/>
          <w:b w:val="1"/>
          <w:bCs w:val="1"/>
          <w:color w:val="auto"/>
        </w:rPr>
      </w:pPr>
    </w:p>
    <w:p>
      <w:pPr>
        <w:ind w:left="1540"/>
        <w:spacing w:after="0"/>
        <w:rPr>
          <w:rFonts w:ascii="Arial" w:cs="Arial" w:eastAsia="Arial" w:hAnsi="Arial"/>
          <w:sz w:val="18"/>
          <w:szCs w:val="18"/>
          <w:b w:val="1"/>
          <w:bCs w:val="1"/>
          <w:color w:val="auto"/>
        </w:rPr>
      </w:pPr>
      <w:r>
        <w:rPr>
          <w:rFonts w:ascii="Arial" w:cs="Arial" w:eastAsia="Arial" w:hAnsi="Arial"/>
          <w:sz w:val="18"/>
          <w:szCs w:val="18"/>
          <w:color w:val="auto"/>
        </w:rPr>
        <w:t>Presented hereunder is a list of the Group’s subsidiary:</w:t>
      </w:r>
    </w:p>
    <w:p>
      <w:pPr>
        <w:spacing w:after="0" w:line="221" w:lineRule="exact"/>
        <w:rPr>
          <w:sz w:val="20"/>
          <w:szCs w:val="20"/>
          <w:color w:val="auto"/>
        </w:rPr>
      </w:pPr>
    </w:p>
    <w:tbl>
      <w:tblPr>
        <w:tblLayout w:type="fixed"/>
        <w:tblInd w:w="146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The Group’s ownership</w:t>
            </w:r>
          </w:p>
        </w:tc>
      </w:tr>
      <w:tr>
        <w:trPr>
          <w:trHeight w:val="216"/>
        </w:trPr>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Principal</w:t>
            </w:r>
          </w:p>
        </w:tc>
        <w:tc>
          <w:tcPr>
            <w:tcW w:w="132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89"/>
              </w:rPr>
              <w:t>interest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location of</w:t>
            </w:r>
          </w:p>
        </w:tc>
        <w:tc>
          <w:tcPr>
            <w:tcW w:w="21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0"/>
              </w:rPr>
              <w:t>in the subsidiary for the</w:t>
            </w:r>
          </w:p>
        </w:tc>
      </w:tr>
      <w:tr>
        <w:trPr>
          <w:trHeight w:val="216"/>
        </w:trPr>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the</w:t>
            </w:r>
          </w:p>
        </w:tc>
        <w:tc>
          <w:tcPr>
            <w:tcW w:w="21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8"/>
              </w:rPr>
              <w:t>year ended</w:t>
            </w:r>
          </w:p>
        </w:tc>
      </w:tr>
      <w:tr>
        <w:trPr>
          <w:trHeight w:val="241"/>
        </w:trPr>
        <w:tc>
          <w:tcPr>
            <w:tcW w:w="3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Company’s</w:t>
            </w:r>
          </w:p>
        </w:tc>
        <w:tc>
          <w:tcPr>
            <w:tcW w:w="21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December 31</w:t>
            </w:r>
          </w:p>
        </w:tc>
      </w:tr>
      <w:tr>
        <w:trPr>
          <w:trHeight w:val="223"/>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company</w:t>
            </w:r>
          </w:p>
        </w:tc>
        <w:tc>
          <w:tcPr>
            <w:tcW w:w="80" w:type="dxa"/>
            <w:vAlign w:val="bottom"/>
          </w:tcPr>
          <w:p>
            <w:pPr>
              <w:spacing w:after="0"/>
              <w:rPr>
                <w:sz w:val="19"/>
                <w:szCs w:val="19"/>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activity</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2020</w:t>
            </w:r>
          </w:p>
        </w:tc>
        <w:tc>
          <w:tcPr>
            <w:tcW w:w="160" w:type="dxa"/>
            <w:vAlign w:val="bottom"/>
          </w:tcPr>
          <w:p>
            <w:pPr>
              <w:spacing w:after="0"/>
              <w:rPr>
                <w:sz w:val="19"/>
                <w:szCs w:val="19"/>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Taptica Inc</w:t>
            </w:r>
          </w:p>
        </w:tc>
        <w:tc>
          <w:tcPr>
            <w:tcW w:w="8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Tremor Video Inc</w:t>
            </w:r>
          </w:p>
        </w:tc>
        <w:tc>
          <w:tcPr>
            <w:tcW w:w="8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USA</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Adinnovation Inc</w:t>
            </w:r>
          </w:p>
        </w:tc>
        <w:tc>
          <w:tcPr>
            <w:tcW w:w="8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Japan</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Taptica Japan</w:t>
            </w:r>
          </w:p>
        </w:tc>
        <w:tc>
          <w:tcPr>
            <w:tcW w:w="8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Japan</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Taptica UK</w:t>
            </w:r>
          </w:p>
        </w:tc>
        <w:tc>
          <w:tcPr>
            <w:tcW w:w="8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YuMe Inc*</w:t>
            </w:r>
          </w:p>
        </w:tc>
        <w:tc>
          <w:tcPr>
            <w:tcW w:w="8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USA</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Perk.com Canada Inc</w:t>
            </w:r>
          </w:p>
        </w:tc>
        <w:tc>
          <w:tcPr>
            <w:tcW w:w="8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R1Demand LLC*</w:t>
            </w:r>
          </w:p>
        </w:tc>
        <w:tc>
          <w:tcPr>
            <w:tcW w:w="8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USA</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Unruly Group LLC</w:t>
            </w:r>
          </w:p>
        </w:tc>
        <w:tc>
          <w:tcPr>
            <w:tcW w:w="8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USA</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Unruly Group US Holding Inc*</w:t>
            </w:r>
          </w:p>
        </w:tc>
        <w:tc>
          <w:tcPr>
            <w:tcW w:w="8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USA</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Unruly Holdings Ltd*</w:t>
            </w:r>
          </w:p>
        </w:tc>
        <w:tc>
          <w:tcPr>
            <w:tcW w:w="8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UK</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Unruly Group Ltd</w:t>
            </w:r>
          </w:p>
        </w:tc>
        <w:tc>
          <w:tcPr>
            <w:tcW w:w="8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UK</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Unruly Media GmbH</w:t>
            </w:r>
          </w:p>
        </w:tc>
        <w:tc>
          <w:tcPr>
            <w:tcW w:w="8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Unruly Media Pte Ltd*</w:t>
            </w:r>
          </w:p>
        </w:tc>
        <w:tc>
          <w:tcPr>
            <w:tcW w:w="8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Singapore</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Unruly Media Pty Ltd</w:t>
            </w:r>
          </w:p>
        </w:tc>
        <w:tc>
          <w:tcPr>
            <w:tcW w:w="8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Australia</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Unruly Media KK</w:t>
            </w:r>
          </w:p>
        </w:tc>
        <w:tc>
          <w:tcPr>
            <w:tcW w:w="8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Japan</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Unmedia Video Distribution Sdn Bhd</w:t>
            </w:r>
          </w:p>
        </w:tc>
        <w:tc>
          <w:tcPr>
            <w:tcW w:w="8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Malaysia</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Unruly Media Inc</w:t>
            </w:r>
          </w:p>
        </w:tc>
        <w:tc>
          <w:tcPr>
            <w:tcW w:w="8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USA</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SpearAd GmbH</w:t>
            </w:r>
          </w:p>
        </w:tc>
        <w:tc>
          <w:tcPr>
            <w:tcW w:w="8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5400" w:hanging="3867"/>
        <w:spacing w:after="0" w:line="527" w:lineRule="auto"/>
        <w:tabs>
          <w:tab w:leader="none" w:pos="202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Under these companies, there are twenty-nine (29) wholly owned subsidiaries that are inactive and in liquidation process. F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297" w:right="79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7"/>
          <w:szCs w:val="17"/>
          <w:b w:val="1"/>
          <w:bCs w:val="1"/>
          <w:color w:val="auto"/>
        </w:rPr>
        <w:t>SUBSIDIARIES (Cont.)</w:t>
      </w:r>
    </w:p>
    <w:p>
      <w:pPr>
        <w:spacing w:after="0" w:line="225" w:lineRule="exact"/>
        <w:rPr>
          <w:sz w:val="20"/>
          <w:szCs w:val="20"/>
          <w:color w:val="auto"/>
        </w:rPr>
      </w:pPr>
    </w:p>
    <w:p>
      <w:pPr>
        <w:ind w:left="1540" w:right="3520" w:hanging="520"/>
        <w:spacing w:after="0" w:line="503" w:lineRule="auto"/>
        <w:tabs>
          <w:tab w:leader="none" w:pos="1521"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subsidiaries and business combinations during the current period: Acquisition of SpearAd:</w:t>
      </w:r>
    </w:p>
    <w:p>
      <w:pPr>
        <w:ind w:left="1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October 18, 2021, the Company completed the acquisition of SpearAd GMBH ("SpearAd"). The Company acquired 100% of the issued and outstanding SpearAd Shares for total consideration of USD 11,016 thousand.</w:t>
      </w:r>
    </w:p>
    <w:p>
      <w:pPr>
        <w:spacing w:after="0" w:line="170" w:lineRule="exact"/>
        <w:rPr>
          <w:rFonts w:ascii="Arial" w:cs="Arial" w:eastAsia="Arial" w:hAnsi="Arial"/>
          <w:sz w:val="18"/>
          <w:szCs w:val="18"/>
          <w:b w:val="1"/>
          <w:bCs w:val="1"/>
          <w:color w:val="auto"/>
        </w:rPr>
      </w:pPr>
    </w:p>
    <w:p>
      <w:pPr>
        <w:jc w:val="both"/>
        <w:ind w:left="15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At the same time, some of the SpearAd shareholders entered into Employment Agreements and Restricted Share Agreements to receive 370,000 ordinary shares of NIS 0.01 of the Company, Subject to continues employment and compliance with the performance criteria to be released gradually over a three-year period. The restricted shares were fully issued on the closing date and the fair value was USD 3,484 thousand, which presented as a deduction from the share premium.</w:t>
      </w:r>
    </w:p>
    <w:p>
      <w:pPr>
        <w:spacing w:after="0" w:line="171" w:lineRule="exact"/>
        <w:rPr>
          <w:rFonts w:ascii="Arial" w:cs="Arial" w:eastAsia="Arial" w:hAnsi="Arial"/>
          <w:sz w:val="18"/>
          <w:szCs w:val="18"/>
          <w:b w:val="1"/>
          <w:bCs w:val="1"/>
          <w:color w:val="auto"/>
        </w:rPr>
      </w:pPr>
    </w:p>
    <w:p>
      <w:pPr>
        <w:ind w:left="154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2021, the balance of the Restricted Shares is USD 3,052 thousand.</w:t>
      </w:r>
    </w:p>
    <w:p>
      <w:pPr>
        <w:spacing w:after="0" w:line="225" w:lineRule="exact"/>
        <w:rPr>
          <w:rFonts w:ascii="Arial" w:cs="Arial" w:eastAsia="Arial" w:hAnsi="Arial"/>
          <w:sz w:val="18"/>
          <w:szCs w:val="18"/>
          <w:b w:val="1"/>
          <w:bCs w:val="1"/>
          <w:color w:val="auto"/>
        </w:rPr>
      </w:pPr>
    </w:p>
    <w:p>
      <w:pPr>
        <w:ind w:left="15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summarizes the major classes of consideration transferred, and the recognized amounts of assets acquired, and liabilities assumed at the acquisition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USD</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6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thousands</w:t>
            </w: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Accounts Receivables</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9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Fixed Assets</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9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7,275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(1,504)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9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Other Payables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900" w:type="dxa"/>
            <w:vAlign w:val="bottom"/>
            <w:tcBorders>
              <w:top w:val="single" w:sz="8" w:color="auto"/>
              <w:right w:val="single" w:sz="8" w:color="CCEEFF"/>
            </w:tcBorders>
            <w:gridSpan w:val="2"/>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identifiable assets</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5,827</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900" w:type="dxa"/>
            <w:vAlign w:val="bottom"/>
            <w:gridSpan w:val="2"/>
            <w:vMerge w:val="restart"/>
          </w:tcPr>
          <w:p>
            <w:pPr>
              <w:ind w:left="1460"/>
              <w:spacing w:after="0"/>
              <w:rPr>
                <w:sz w:val="20"/>
                <w:szCs w:val="20"/>
                <w:color w:val="auto"/>
              </w:rPr>
            </w:pPr>
            <w:r>
              <w:rPr>
                <w:rFonts w:ascii="Arial" w:cs="Arial" w:eastAsia="Arial" w:hAnsi="Arial"/>
                <w:sz w:val="18"/>
                <w:szCs w:val="18"/>
                <w:color w:val="auto"/>
              </w:rPr>
              <w:t>The aggregate cash flow derived for the Company as a result of the SpearAd acquisition:</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890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6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USD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6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thousands</w:t>
            </w: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SpearAd</w:t>
            </w:r>
          </w:p>
        </w:tc>
        <w:tc>
          <w:tcPr>
            <w:tcW w:w="9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Acquisition- Related costs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b w:val="1"/>
                <w:bCs w:val="1"/>
                <w:color w:val="auto"/>
              </w:rPr>
              <w:t>Acquisition of subsidiary</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7280" w:type="dxa"/>
            <w:vAlign w:val="bottom"/>
            <w:vMerge w:val="restart"/>
          </w:tcPr>
          <w:p>
            <w:pPr>
              <w:ind w:left="3780"/>
              <w:spacing w:after="0"/>
              <w:rPr>
                <w:sz w:val="20"/>
                <w:szCs w:val="20"/>
                <w:color w:val="auto"/>
              </w:rPr>
            </w:pPr>
            <w:r>
              <w:rPr>
                <w:rFonts w:ascii="Arial" w:cs="Arial" w:eastAsia="Arial" w:hAnsi="Arial"/>
                <w:sz w:val="18"/>
                <w:szCs w:val="18"/>
                <w:color w:val="auto"/>
              </w:rPr>
              <w:t>F - 53</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1620" w:type="dxa"/>
            <w:vAlign w:val="bottom"/>
          </w:tcPr>
          <w:p>
            <w:pPr>
              <w:spacing w:after="0"/>
              <w:rPr>
                <w:sz w:val="24"/>
                <w:szCs w:val="24"/>
                <w:color w:val="auto"/>
              </w:rPr>
            </w:pPr>
          </w:p>
        </w:tc>
        <w:tc>
          <w:tcPr>
            <w:tcW w:w="72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620" w:type="dxa"/>
            <w:vAlign w:val="bottom"/>
            <w:tcBorders>
              <w:bottom w:val="single" w:sz="8" w:color="auto"/>
            </w:tcBorders>
          </w:tcPr>
          <w:p>
            <w:pPr>
              <w:spacing w:after="0"/>
              <w:rPr>
                <w:sz w:val="5"/>
                <w:szCs w:val="5"/>
                <w:color w:val="auto"/>
              </w:rPr>
            </w:pPr>
          </w:p>
        </w:tc>
        <w:tc>
          <w:tcPr>
            <w:tcW w:w="7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97" w:right="3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7"/>
          <w:szCs w:val="17"/>
          <w:b w:val="1"/>
          <w:bCs w:val="1"/>
          <w:color w:val="auto"/>
        </w:rPr>
        <w:t>SUBSIDIARIES (Cont.)</w:t>
      </w:r>
    </w:p>
    <w:p>
      <w:pPr>
        <w:spacing w:after="0" w:line="229" w:lineRule="exact"/>
        <w:rPr>
          <w:sz w:val="20"/>
          <w:szCs w:val="20"/>
          <w:color w:val="auto"/>
        </w:rPr>
      </w:pPr>
    </w:p>
    <w:p>
      <w:pPr>
        <w:jc w:val="both"/>
        <w:ind w:left="1540"/>
        <w:spacing w:after="0" w:line="263" w:lineRule="auto"/>
        <w:rPr>
          <w:sz w:val="20"/>
          <w:szCs w:val="20"/>
          <w:color w:val="auto"/>
        </w:rPr>
      </w:pPr>
      <w:r>
        <w:rPr>
          <w:rFonts w:ascii="Arial" w:cs="Arial" w:eastAsia="Arial" w:hAnsi="Arial"/>
          <w:sz w:val="18"/>
          <w:szCs w:val="18"/>
          <w:color w:val="auto"/>
        </w:rPr>
        <w:t>The Company incurred acquisition-related costs of USD 253 thousand related to legal fees and due diligence costs. These costs have been included in general and administrative expenses in the statement of operation. As of December 31, 2021, USD 139 out of the acquisition-related costs were paid.</w:t>
      </w:r>
    </w:p>
    <w:p>
      <w:pPr>
        <w:spacing w:after="0" w:line="180"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Goodwill</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360" w:type="dxa"/>
            <w:vAlign w:val="bottom"/>
            <w:gridSpan w:val="2"/>
          </w:tcPr>
          <w:p>
            <w:pPr>
              <w:spacing w:after="0"/>
              <w:rPr>
                <w:sz w:val="20"/>
                <w:szCs w:val="20"/>
                <w:color w:val="auto"/>
              </w:rPr>
            </w:pPr>
            <w:r>
              <w:rPr>
                <w:rFonts w:ascii="Arial" w:cs="Arial" w:eastAsia="Arial" w:hAnsi="Arial"/>
                <w:sz w:val="18"/>
                <w:szCs w:val="18"/>
                <w:color w:val="auto"/>
              </w:rPr>
              <w:t>Goodwill was recognized as a result of the acquisition as follows: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USD</w:t>
            </w:r>
          </w:p>
        </w:tc>
      </w:tr>
      <w:tr>
        <w:trPr>
          <w:trHeight w:val="241"/>
        </w:trPr>
        <w:tc>
          <w:tcPr>
            <w:tcW w:w="8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thousands</w:t>
            </w:r>
          </w:p>
        </w:tc>
      </w:tr>
      <w:tr>
        <w:trPr>
          <w:trHeight w:val="216"/>
        </w:trPr>
        <w:tc>
          <w:tcPr>
            <w:tcW w:w="8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Consideration transferred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11,016</w:t>
            </w:r>
          </w:p>
        </w:tc>
        <w:tc>
          <w:tcPr>
            <w:tcW w:w="80" w:type="dxa"/>
            <w:vAlign w:val="bottom"/>
            <w:shd w:val="clear" w:color="auto" w:fill="CCEEFF"/>
          </w:tcPr>
          <w:p>
            <w:pPr>
              <w:spacing w:after="0"/>
              <w:rPr>
                <w:sz w:val="18"/>
                <w:szCs w:val="18"/>
                <w:color w:val="auto"/>
              </w:rPr>
            </w:pPr>
          </w:p>
        </w:tc>
      </w:tr>
      <w:tr>
        <w:trPr>
          <w:trHeight w:val="223"/>
        </w:trPr>
        <w:tc>
          <w:tcPr>
            <w:tcW w:w="8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Less fair value of identifiable net assets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5,827</w:t>
            </w:r>
          </w:p>
        </w:tc>
        <w:tc>
          <w:tcPr>
            <w:tcW w:w="80" w:type="dxa"/>
            <w:vAlign w:val="bottom"/>
          </w:tcPr>
          <w:p>
            <w:pPr>
              <w:spacing w:after="0"/>
              <w:rPr>
                <w:sz w:val="19"/>
                <w:szCs w:val="19"/>
                <w:color w:val="auto"/>
              </w:rPr>
            </w:pPr>
          </w:p>
        </w:tc>
      </w:tr>
      <w:tr>
        <w:trPr>
          <w:trHeight w:val="216"/>
        </w:trPr>
        <w:tc>
          <w:tcPr>
            <w:tcW w:w="80" w:type="dxa"/>
            <w:vAlign w:val="bottom"/>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Goodwill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5,189</w:t>
            </w:r>
          </w:p>
        </w:tc>
        <w:tc>
          <w:tcPr>
            <w:tcW w:w="8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540"/>
        <w:spacing w:after="0" w:line="263" w:lineRule="auto"/>
        <w:rPr>
          <w:sz w:val="20"/>
          <w:szCs w:val="20"/>
          <w:color w:val="auto"/>
        </w:rPr>
      </w:pPr>
      <w:r>
        <w:rPr>
          <w:rFonts w:ascii="Arial" w:cs="Arial" w:eastAsia="Arial" w:hAnsi="Arial"/>
          <w:sz w:val="18"/>
          <w:szCs w:val="18"/>
          <w:color w:val="auto"/>
        </w:rPr>
        <w:t>The goodwill is attributable mainly to the increased opportunities for growth and the synergies expected to be achieved from integration into the Company’s digital advertising platforms (Note 7). None of the goodwill recognized is expected to be deductible for tax purposes.</w:t>
      </w:r>
    </w:p>
    <w:p>
      <w:pPr>
        <w:spacing w:after="0" w:line="180" w:lineRule="exact"/>
        <w:rPr>
          <w:sz w:val="20"/>
          <w:szCs w:val="20"/>
          <w:color w:val="auto"/>
        </w:rPr>
      </w:pPr>
    </w:p>
    <w:p>
      <w:pPr>
        <w:ind w:left="1540" w:right="3620" w:hanging="520"/>
        <w:spacing w:after="0" w:line="503" w:lineRule="auto"/>
        <w:tabs>
          <w:tab w:leader="none" w:pos="1521"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subsidiaries and business combinations during the prior periods: Acquisition of Unruly</w:t>
      </w:r>
      <w:r>
        <w:rPr>
          <w:rFonts w:ascii="Arial" w:cs="Arial" w:eastAsia="Arial" w:hAnsi="Arial"/>
          <w:sz w:val="18"/>
          <w:szCs w:val="18"/>
          <w:color w:val="auto"/>
        </w:rPr>
        <w:t>:</w:t>
      </w:r>
    </w:p>
    <w:p>
      <w:pPr>
        <w:jc w:val="both"/>
        <w:ind w:left="15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January 4, 2020, the Company completed the acquisition of Unruly Holdings Limited and Unruly Media Inc. from News Corp UK &amp; Ireland Limited (“UK Seller”) and News Preferred Holdings Inc. (“US Seller”) for total consideration of: (i) issuance of 7,960,111 Ordinary Shares of the Company to the UK Seller in exchange for a loan in the amount of GBP 12,020 thousand (USD 15,729 thousand) between UK Seller (as “lender”) and Unruly Group Limited (as “borrower”); (ii) GBP 1 to UK Seller for 100% of the issued share capital of Unruly Holdings Limited; and (iii) issuance of 565,212 Ordinary Shares of the Company to the US Seller and USD 1 for 100% of the issued share capital of Unruly Media Inc.</w:t>
      </w:r>
    </w:p>
    <w:p>
      <w:pPr>
        <w:spacing w:after="0" w:line="192" w:lineRule="exact"/>
        <w:rPr>
          <w:sz w:val="20"/>
          <w:szCs w:val="20"/>
          <w:color w:val="auto"/>
        </w:rPr>
      </w:pPr>
    </w:p>
    <w:p>
      <w:pPr>
        <w:jc w:val="both"/>
        <w:ind w:left="1540"/>
        <w:spacing w:after="0" w:line="263" w:lineRule="auto"/>
        <w:rPr>
          <w:sz w:val="20"/>
          <w:szCs w:val="20"/>
          <w:color w:val="auto"/>
        </w:rPr>
      </w:pPr>
      <w:r>
        <w:rPr>
          <w:rFonts w:ascii="Arial" w:cs="Arial" w:eastAsia="Arial" w:hAnsi="Arial"/>
          <w:sz w:val="18"/>
          <w:szCs w:val="18"/>
          <w:color w:val="auto"/>
        </w:rPr>
        <w:t>The issuance of an aggregate 8,525,323 Ordinary Shares of the Company to UK Seller and US Seller represented approximately 6.91% of the Company's issued voting share capital at such time. The Sellers agreed not to sell, transfer or otherwise dispose of such Company Ordinary Shares for an 18-month period, subject to customary exceptions.</w:t>
      </w:r>
    </w:p>
    <w:p>
      <w:pPr>
        <w:spacing w:after="0" w:line="184" w:lineRule="exact"/>
        <w:rPr>
          <w:sz w:val="20"/>
          <w:szCs w:val="20"/>
          <w:color w:val="auto"/>
        </w:rPr>
      </w:pPr>
    </w:p>
    <w:p>
      <w:pPr>
        <w:jc w:val="both"/>
        <w:ind w:left="1540"/>
        <w:spacing w:after="0" w:line="255" w:lineRule="auto"/>
        <w:rPr>
          <w:sz w:val="20"/>
          <w:szCs w:val="20"/>
          <w:color w:val="auto"/>
        </w:rPr>
      </w:pPr>
      <w:r>
        <w:rPr>
          <w:rFonts w:ascii="Arial" w:cs="Arial" w:eastAsia="Arial" w:hAnsi="Arial"/>
          <w:sz w:val="18"/>
          <w:szCs w:val="18"/>
          <w:color w:val="auto"/>
        </w:rPr>
        <w:t>At the same time, Tremor Video entered into a Master Service Agreement (“MSA”) with the UK seller for an exclusive right to sell outstream video on various News Corp titles world-wide on a committed ad spend of GBP 30,000 thousand over a three-year period with an option to extend the MSA by two quarters at the discretion of UK seller. The obligation for the net discounted future payments exceeding market fair value aggregated to USD 14,073 thousand and is recognized according to the actual consumption. As of December 31, 2021, and December 31,2020 the ad spend liability balance aggregated to USD 7,729 thousand and USD 13,811 thousand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7"/>
          <w:szCs w:val="17"/>
          <w:b w:val="1"/>
          <w:bCs w:val="1"/>
          <w:color w:val="auto"/>
        </w:rPr>
        <w:t>SUBSIDIARIES (Cont.)</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Acquisition of RhythmOne</w:t>
      </w:r>
      <w:r>
        <w:rPr>
          <w:rFonts w:ascii="Arial" w:cs="Arial" w:eastAsia="Arial" w:hAnsi="Arial"/>
          <w:sz w:val="18"/>
          <w:szCs w:val="18"/>
          <w:color w:val="auto"/>
        </w:rPr>
        <w:t>:</w:t>
      </w:r>
    </w:p>
    <w:p>
      <w:pPr>
        <w:spacing w:after="0" w:line="229" w:lineRule="exact"/>
        <w:rPr>
          <w:sz w:val="20"/>
          <w:szCs w:val="20"/>
          <w:color w:val="auto"/>
        </w:rPr>
      </w:pPr>
    </w:p>
    <w:p>
      <w:pPr>
        <w:jc w:val="both"/>
        <w:ind w:left="1540"/>
        <w:spacing w:after="0" w:line="271" w:lineRule="auto"/>
        <w:rPr>
          <w:sz w:val="20"/>
          <w:szCs w:val="20"/>
          <w:color w:val="auto"/>
        </w:rPr>
      </w:pPr>
      <w:r>
        <w:rPr>
          <w:rFonts w:ascii="Arial" w:cs="Arial" w:eastAsia="Arial" w:hAnsi="Arial"/>
          <w:sz w:val="17"/>
          <w:szCs w:val="17"/>
          <w:color w:val="auto"/>
        </w:rPr>
        <w:t>On April 1, 2019, the Company completed Acquisition Transaction (hereinafter- "Acquisition") with RhythmOne Plc, a Company incorporated under the laws of England and Wales, whereby the Company acquired the entire issued ordinary shares of RhythmOne and each RhythmOne shareholder received 28 new shares of the Company (as such new 66,736,485 shares of the Company were issued) for every 33 RhythmOne shares held, so that following the completion of the Acquisition, the Company's current shareholders held 50.1% and, RhythmOne Shareholders held 49.9% of the merged Group. In addition, 849,325 options and 1,058,776 restricted shares units over RhythmOne share awarded were rolled over to 458,946 the Company's options and to 869,962 the Company's restricted units (hereinafter- "Replacement Award"). The consideration of the Acquisition amounted to USD 176,421 thousand (including consideration allocated to issuance of ordinary shares and Replacement Award).</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21:</w:t>
      </w:r>
      <w:r>
        <w:rPr>
          <w:sz w:val="20"/>
          <w:szCs w:val="20"/>
          <w:color w:val="auto"/>
        </w:rPr>
        <w:tab/>
      </w:r>
      <w:r>
        <w:rPr>
          <w:rFonts w:ascii="Arial" w:cs="Arial" w:eastAsia="Arial" w:hAnsi="Arial"/>
          <w:sz w:val="17"/>
          <w:szCs w:val="17"/>
          <w:b w:val="1"/>
          <w:bCs w:val="1"/>
          <w:color w:val="auto"/>
        </w:rPr>
        <w:t>OPERATING SEGMENTS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Group has a single reportable segment as a provider of marketing services.</w:t>
      </w:r>
    </w:p>
    <w:p>
      <w:pPr>
        <w:spacing w:after="0" w:line="221"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Geographical information</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In presenting information on the basis of geographical segments, segment revenue is based on the geographical location of consumers.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8"/>
              </w:rPr>
              <w:t>Year ended</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56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89"/>
              </w:rPr>
              <w:t>December 31</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600" w:type="dxa"/>
            <w:vAlign w:val="bottom"/>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r>
      <w:tr>
        <w:trPr>
          <w:trHeight w:val="223"/>
        </w:trPr>
        <w:tc>
          <w:tcPr>
            <w:tcW w:w="56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71"/>
              </w:rPr>
              <w:t>USD thousands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5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6"/>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America</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304,686</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180,515</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261,534</w:t>
            </w:r>
          </w:p>
        </w:tc>
      </w:tr>
      <w:tr>
        <w:trPr>
          <w:trHeight w:val="216"/>
        </w:trPr>
        <w:tc>
          <w:tcPr>
            <w:tcW w:w="5600" w:type="dxa"/>
            <w:vAlign w:val="bottom"/>
          </w:tcPr>
          <w:p>
            <w:pPr>
              <w:ind w:left="40"/>
              <w:spacing w:after="0"/>
              <w:rPr>
                <w:sz w:val="20"/>
                <w:szCs w:val="20"/>
                <w:color w:val="auto"/>
              </w:rPr>
            </w:pPr>
            <w:r>
              <w:rPr>
                <w:rFonts w:ascii="Arial" w:cs="Arial" w:eastAsia="Arial" w:hAnsi="Arial"/>
                <w:sz w:val="18"/>
                <w:szCs w:val="18"/>
                <w:color w:val="auto"/>
              </w:rPr>
              <w:t>APAC</w:t>
            </w:r>
          </w:p>
        </w:tc>
        <w:tc>
          <w:tcPr>
            <w:tcW w:w="900" w:type="dxa"/>
            <w:vAlign w:val="bottom"/>
          </w:tcPr>
          <w:p>
            <w:pPr>
              <w:jc w:val="right"/>
              <w:spacing w:after="0"/>
              <w:rPr>
                <w:sz w:val="20"/>
                <w:szCs w:val="20"/>
                <w:color w:val="auto"/>
              </w:rPr>
            </w:pPr>
            <w:r>
              <w:rPr>
                <w:rFonts w:ascii="Arial" w:cs="Arial" w:eastAsia="Arial" w:hAnsi="Arial"/>
                <w:sz w:val="18"/>
                <w:szCs w:val="18"/>
                <w:color w:val="auto"/>
              </w:rPr>
              <w:t>20,931</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20,804</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33,052</w:t>
            </w:r>
          </w:p>
        </w:tc>
      </w:tr>
      <w:tr>
        <w:trPr>
          <w:trHeight w:val="223"/>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EMEA</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16,328</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10,601</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31,174</w:t>
            </w:r>
          </w:p>
        </w:tc>
      </w:tr>
      <w:tr>
        <w:trPr>
          <w:trHeight w:val="216"/>
        </w:trPr>
        <w:tc>
          <w:tcPr>
            <w:tcW w:w="56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7"/>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341,945</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211,920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325,760</w:t>
            </w:r>
          </w:p>
        </w:tc>
      </w:tr>
      <w:tr>
        <w:trPr>
          <w:trHeight w:val="20"/>
        </w:trPr>
        <w:tc>
          <w:tcPr>
            <w:tcW w:w="56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22:</w:t>
        <w:tab/>
        <w:t>CONTINGENT LIABILITY</w:t>
      </w:r>
    </w:p>
    <w:p>
      <w:pPr>
        <w:spacing w:after="0" w:line="229" w:lineRule="exact"/>
        <w:rPr>
          <w:sz w:val="20"/>
          <w:szCs w:val="20"/>
          <w:color w:val="auto"/>
        </w:rPr>
      </w:pPr>
    </w:p>
    <w:p>
      <w:pPr>
        <w:jc w:val="both"/>
        <w:ind w:left="1020"/>
        <w:spacing w:after="0" w:line="301" w:lineRule="auto"/>
        <w:rPr>
          <w:sz w:val="20"/>
          <w:szCs w:val="20"/>
          <w:color w:val="auto"/>
        </w:rPr>
      </w:pPr>
      <w:r>
        <w:rPr>
          <w:rFonts w:ascii="Arial" w:cs="Arial" w:eastAsia="Arial" w:hAnsi="Arial"/>
          <w:sz w:val="16"/>
          <w:szCs w:val="16"/>
          <w:color w:val="auto"/>
        </w:rPr>
        <w:t>In January 2018, AlmondNet, Inc. and its affiliates (Datonics LLC and Intent IQ) contacted RhythmOne asserting that RhythmOne’s online advertising system infringes eleven U.S. Patents owned by the AlmondNet Group. As of the date of this report, a claim was never filed and RhythmOne is currently in a commercial agreement with AlmondNet’s affiliate. The Company believes that the likelihood of a material loss is remote but at this point is unable to reasonably estimate any potential loss and financial impact to the Company resulting from this matter.</w:t>
      </w:r>
    </w:p>
    <w:p>
      <w:pPr>
        <w:spacing w:after="0" w:line="157" w:lineRule="exact"/>
        <w:rPr>
          <w:sz w:val="20"/>
          <w:szCs w:val="20"/>
          <w:color w:val="auto"/>
        </w:rPr>
      </w:pPr>
    </w:p>
    <w:p>
      <w:pPr>
        <w:jc w:val="both"/>
        <w:ind w:left="1020"/>
        <w:spacing w:after="0" w:line="263" w:lineRule="auto"/>
        <w:rPr>
          <w:sz w:val="20"/>
          <w:szCs w:val="20"/>
          <w:color w:val="auto"/>
        </w:rPr>
      </w:pPr>
      <w:r>
        <w:rPr>
          <w:rFonts w:ascii="Arial" w:cs="Arial" w:eastAsia="Arial" w:hAnsi="Arial"/>
          <w:sz w:val="18"/>
          <w:szCs w:val="18"/>
          <w:color w:val="auto"/>
        </w:rPr>
        <w:t>On May 18, 2021, the Company filed a complaint against Alphonso, Inc. (“Alphonso”) in the Supreme Court of the State of New York, County of New York (the “Court”), asserting claims for breach of contract, tortious interference with business relations, intentional interference with contractual relations, unjust enrichment, and conversion.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72" w:name="page173"/>
    <w:bookmarkEnd w:id="172"/>
    <w:p>
      <w:pPr>
        <w:jc w:val="center"/>
        <w:ind w:right="-19"/>
        <w:spacing w:after="0"/>
        <w:rPr>
          <w:sz w:val="20"/>
          <w:szCs w:val="20"/>
          <w:color w:val="auto"/>
        </w:rPr>
      </w:pPr>
      <w:r>
        <w:rPr>
          <w:rFonts w:ascii="Arial" w:cs="Arial" w:eastAsia="Arial" w:hAnsi="Arial"/>
          <w:sz w:val="18"/>
          <w:szCs w:val="18"/>
          <w:b w:val="1"/>
          <w:bCs w:val="1"/>
          <w:color w:val="auto"/>
        </w:rPr>
        <w:t>TREMOR INTERNATIONAL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22:</w:t>
        <w:tab/>
        <w:t>CONTINGENT LIABILITY (Cont.)</w:t>
      </w:r>
    </w:p>
    <w:p>
      <w:pPr>
        <w:spacing w:after="0" w:line="229" w:lineRule="exact"/>
        <w:rPr>
          <w:sz w:val="20"/>
          <w:szCs w:val="20"/>
          <w:color w:val="auto"/>
        </w:rPr>
      </w:pPr>
    </w:p>
    <w:p>
      <w:pPr>
        <w:jc w:val="both"/>
        <w:ind w:left="1020"/>
        <w:spacing w:after="0" w:line="263" w:lineRule="auto"/>
        <w:rPr>
          <w:sz w:val="20"/>
          <w:szCs w:val="20"/>
          <w:color w:val="auto"/>
        </w:rPr>
      </w:pPr>
      <w:r>
        <w:rPr>
          <w:rFonts w:ascii="Arial" w:cs="Arial" w:eastAsia="Arial" w:hAnsi="Arial"/>
          <w:sz w:val="18"/>
          <w:szCs w:val="18"/>
          <w:color w:val="auto"/>
        </w:rPr>
        <w:t>The lawsuit arose out of Alphonso’s breach of a Strategic Partnership Agreement and an Advance Payment Obligation and Security Agreement (the “Security Agreement”) with the Company, and related misconduct. The Company is seeking damages and other relief, including an order foreclosing on Alphonso’s collateral under the Security Agreement, from the Court.</w:t>
      </w:r>
    </w:p>
    <w:p>
      <w:pPr>
        <w:spacing w:after="0" w:line="184" w:lineRule="exact"/>
        <w:rPr>
          <w:sz w:val="20"/>
          <w:szCs w:val="20"/>
          <w:color w:val="auto"/>
        </w:rPr>
      </w:pPr>
    </w:p>
    <w:p>
      <w:pPr>
        <w:jc w:val="both"/>
        <w:ind w:left="1020"/>
        <w:spacing w:after="0" w:line="263" w:lineRule="auto"/>
        <w:rPr>
          <w:sz w:val="20"/>
          <w:szCs w:val="20"/>
          <w:color w:val="auto"/>
        </w:rPr>
      </w:pPr>
      <w:r>
        <w:rPr>
          <w:rFonts w:ascii="Arial" w:cs="Arial" w:eastAsia="Arial" w:hAnsi="Arial"/>
          <w:sz w:val="18"/>
          <w:szCs w:val="18"/>
          <w:color w:val="auto"/>
        </w:rPr>
        <w:t>On May 24, 2021, Alphonso filed a complaint against the Company in the Supreme Court of the State of New York, County of New York, asserting claims for breach of contract, unfair competition, and tortious interference with business relations. Alphonso and the Company are currently engaged in written discovery.</w:t>
      </w:r>
    </w:p>
    <w:p>
      <w:pPr>
        <w:spacing w:after="0" w:line="1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23:</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On February 23, 2022, the Board of Directors approved a share buyback program of up to USD 75 million.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2.1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REGISTRANT’S SECURITIES REGISTERED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12 OF THE SECURITIES EXCHANGE ACT OF 1934</w:t>
      </w:r>
    </w:p>
    <w:p>
      <w:pPr>
        <w:spacing w:after="0" w:line="28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Tremor International Ltd. (the “</w:t>
      </w:r>
      <w:r>
        <w:rPr>
          <w:rFonts w:ascii="Arial" w:cs="Arial" w:eastAsia="Arial" w:hAnsi="Arial"/>
          <w:sz w:val="21"/>
          <w:szCs w:val="21"/>
          <w:i w:val="1"/>
          <w:iCs w:val="1"/>
          <w:color w:val="auto"/>
        </w:rPr>
        <w:t>Company</w:t>
      </w:r>
      <w:r>
        <w:rPr>
          <w:rFonts w:ascii="Arial" w:cs="Arial" w:eastAsia="Arial" w:hAnsi="Arial"/>
          <w:sz w:val="21"/>
          <w:szCs w:val="21"/>
          <w:color w:val="auto"/>
        </w:rPr>
        <w:t>,” “</w:t>
      </w:r>
      <w:r>
        <w:rPr>
          <w:rFonts w:ascii="Arial" w:cs="Arial" w:eastAsia="Arial" w:hAnsi="Arial"/>
          <w:sz w:val="21"/>
          <w:szCs w:val="21"/>
          <w:i w:val="1"/>
          <w:iCs w:val="1"/>
          <w:color w:val="auto"/>
        </w:rPr>
        <w:t>we</w:t>
      </w:r>
      <w:r>
        <w:rPr>
          <w:rFonts w:ascii="Arial" w:cs="Arial" w:eastAsia="Arial" w:hAnsi="Arial"/>
          <w:sz w:val="21"/>
          <w:szCs w:val="21"/>
          <w:color w:val="auto"/>
        </w:rPr>
        <w:t>,” “</w:t>
      </w:r>
      <w:r>
        <w:rPr>
          <w:rFonts w:ascii="Arial" w:cs="Arial" w:eastAsia="Arial" w:hAnsi="Arial"/>
          <w:sz w:val="21"/>
          <w:szCs w:val="21"/>
          <w:i w:val="1"/>
          <w:iCs w:val="1"/>
          <w:color w:val="auto"/>
        </w:rPr>
        <w:t>us</w:t>
      </w:r>
      <w:r>
        <w:rPr>
          <w:rFonts w:ascii="Arial" w:cs="Arial" w:eastAsia="Arial" w:hAnsi="Arial"/>
          <w:sz w:val="21"/>
          <w:szCs w:val="21"/>
          <w:color w:val="auto"/>
        </w:rPr>
        <w:t>” and “</w:t>
      </w:r>
      <w:r>
        <w:rPr>
          <w:rFonts w:ascii="Arial" w:cs="Arial" w:eastAsia="Arial" w:hAnsi="Arial"/>
          <w:sz w:val="21"/>
          <w:szCs w:val="21"/>
          <w:i w:val="1"/>
          <w:iCs w:val="1"/>
          <w:color w:val="auto"/>
        </w:rPr>
        <w:t>our</w:t>
      </w:r>
      <w:r>
        <w:rPr>
          <w:rFonts w:ascii="Arial" w:cs="Arial" w:eastAsia="Arial" w:hAnsi="Arial"/>
          <w:sz w:val="21"/>
          <w:szCs w:val="21"/>
          <w:color w:val="auto"/>
        </w:rPr>
        <w:t>”) has one class of securities registered pursuant to Section 12(b) of the Securities Exchange Act of 1934, the Company’s ordinary shares, par value NIS per share.</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Capital</w:t>
      </w:r>
    </w:p>
    <w:p>
      <w:pPr>
        <w:spacing w:after="0" w:line="293"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The authorized share capital of the Company is NIS 5,000,000, divided into 500,000,000 ordinary shares with a par value of NIS 0.01 per share.</w:t>
      </w:r>
    </w:p>
    <w:p>
      <w:pPr>
        <w:spacing w:after="0" w:line="22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Our board of directors may determine the issue prices and terms for such shares or other securities, and may further determine any other provision relating to such issue of shares or securities. We may also issue and redeem redeemable securities on such terms and in such manner as our board of directors shall determine.</w:t>
      </w:r>
    </w:p>
    <w:p>
      <w:pPr>
        <w:spacing w:after="0" w:line="2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All of our outstanding ordinary shares are validly issued, fully paid and non-assessable. Our ordinary shares are not redeemable.</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Number and Purposes of the Company</w:t>
      </w:r>
    </w:p>
    <w:p>
      <w:pPr>
        <w:spacing w:after="0" w:line="2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We are registered with the Israeli Registrar of Companies. Our registration number is 51-3956060. Our affairs are governed by our amended and restated articles of association, applicable Israeli law and the Israeli Companies Law, 5759-1999, as amended from time to time, including any regulations promulgated thereunder (the “</w:t>
      </w:r>
      <w:r>
        <w:rPr>
          <w:rFonts w:ascii="Arial" w:cs="Arial" w:eastAsia="Arial" w:hAnsi="Arial"/>
          <w:sz w:val="21"/>
          <w:szCs w:val="21"/>
          <w:b w:val="1"/>
          <w:bCs w:val="1"/>
          <w:i w:val="1"/>
          <w:iCs w:val="1"/>
          <w:color w:val="auto"/>
        </w:rPr>
        <w:t>Companies Law</w:t>
      </w:r>
      <w:r>
        <w:rPr>
          <w:rFonts w:ascii="Arial" w:cs="Arial" w:eastAsia="Arial" w:hAnsi="Arial"/>
          <w:sz w:val="21"/>
          <w:szCs w:val="21"/>
          <w:color w:val="auto"/>
        </w:rPr>
        <w:t>”). Our purpose as set forth in our amended and restated articles of association is to engage in any lawful act or activity.</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All ordinary shares will have identical voting and other rights in all respects.</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Preemptive Rights</w:t>
      </w:r>
    </w:p>
    <w:p>
      <w:pPr>
        <w:spacing w:after="0" w:line="2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As is customary for companies whose shares are traded on AIM, our amended and restated articles of association provides that if our board of directors wishes to issue any additional ordinary shares or grant rights over ordinary shares (other than pursuant to an equity incentive plan and other specific events listed in the articles), it must first offer them to existing shareholders in proportion to their holdings. However, the articles also provide, that the shareholders by special resolution, may exclude preemptive rights generally or in respect of a specified share issuance.</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of Shares</w:t>
      </w:r>
    </w:p>
    <w:p>
      <w:pPr>
        <w:spacing w:after="0" w:line="2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Our fully paid ordinary shares are issued in registered form and may be freely transferred under our amended and restated articles of association, unless the transfer is restricted or prohibited by another instrument, applicable law or the rules of Nasdaq.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74" w:name="page175"/>
    <w:bookmarkEnd w:id="174"/>
    <w:p>
      <w:pPr>
        <w:spacing w:after="0"/>
        <w:rPr>
          <w:sz w:val="20"/>
          <w:szCs w:val="20"/>
          <w:color w:val="auto"/>
        </w:rPr>
      </w:pPr>
      <w:r>
        <w:rPr>
          <w:rFonts w:ascii="Arial" w:cs="Arial" w:eastAsia="Arial" w:hAnsi="Arial"/>
          <w:sz w:val="22"/>
          <w:szCs w:val="22"/>
          <w:b w:val="1"/>
          <w:bCs w:val="1"/>
          <w:color w:val="auto"/>
        </w:rPr>
        <w:t>Election of Directors</w:t>
      </w:r>
    </w:p>
    <w:p>
      <w:pPr>
        <w:spacing w:after="0" w:line="29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Under our amended and restated articles of association, our board of directors must consist of not less than four but no more than nine directors. Pursuant to our amended and restated articles of association, each of our directors will be appointed pursuant to a method chosen by our board of directors, which may include the following methods: (i) election of competing slates of director nominees (determined in a manner approved by the board of directors) by a majority of the voting power represented at the annual meeting in person or by proxy and voting on such competing slates; (ii) election of individual directors by a plurality of the voting power represented at the annual meeting in person or by proxy and voting on the election of directors (which shall mean that the nominees receiving the largest number of “for” votes will be elected in the case of a contested election); (iii) election of each nominee by a majority of the voting power represented at the annual meeting in person or by proxy and voting on the election of directors, provided that if the number of such nominees exceeds the number of directors to be elected, then as among such nominees the election shall be by plurality of the voting power as described above, and (iv) such other method of voting as the board of directors deems appropriate, including use of a “universal proxy card” listing all nominees. In the event that our board of directors does not or is unable to make a determination on such matter, then the method described in clause (ii) above shall apply. In addition, our amended and restated articles of association provide that vacancies on our board of directors may be filled by a vote of a simple majority of the directors then in office.</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 and Liquidation Rights</w:t>
      </w:r>
    </w:p>
    <w:p>
      <w:pPr>
        <w:spacing w:after="0" w:line="2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24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Pursuant to the Companies Law, the distribution amount is limited to the greater of retained earnings or earnings generated over the previous two years, according to our then last reviewed or audited financial statements (less the amount of previously distributed dividends, if not reduced from the earnings), provided that the end of the period to which the financial statements relate is not more than six months prior to the date of the distribution. If we do not meet such criteria, then we may distribute dividends only with court approval. In each case, we are only permitted to distribute a dividend if our board of directors and, if applicable, the court determines that there is no reasonable concern that payment of the dividend will prevent us from satisfying our existing and foreseeable obligations as they become due.</w:t>
      </w:r>
    </w:p>
    <w:p>
      <w:pPr>
        <w:spacing w:after="0" w:line="23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Exchange Controls</w:t>
      </w:r>
    </w:p>
    <w:p>
      <w:pPr>
        <w:spacing w:after="0" w:line="2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There are currently no Israeli currency control restrictions on remittances of dividends on our ordinary shares, proceeds from the sale of the ordinary shares or interest or other payments to non-residents of Israel, except for shareholders who are subjects of countries that are, have been, or will be, in a state of war with Israel.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 of our shareholders are entitled to registration rights.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75" w:name="page176"/>
    <w:bookmarkEnd w:id="175"/>
    <w:p>
      <w:pPr>
        <w:spacing w:after="0"/>
        <w:rPr>
          <w:sz w:val="20"/>
          <w:szCs w:val="20"/>
          <w:color w:val="auto"/>
        </w:rPr>
      </w:pPr>
      <w:r>
        <w:rPr>
          <w:rFonts w:ascii="Arial" w:cs="Arial" w:eastAsia="Arial" w:hAnsi="Arial"/>
          <w:sz w:val="22"/>
          <w:szCs w:val="22"/>
          <w:b w:val="1"/>
          <w:bCs w:val="1"/>
          <w:color w:val="auto"/>
        </w:rPr>
        <w:t>Shareholder Meetings</w:t>
      </w:r>
    </w:p>
    <w:p>
      <w:pPr>
        <w:spacing w:after="0" w:line="2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Under Israeli law, we are required to hold an annual general meeting of our shareholders once every calendar year and no later than 15 months after the date of the previous annual general meeting. All meetings other than the annual general meeting of shareholders are referred to in our amended and restated articles of association as special general meetings. Our board of directors may call special general meetings of our shareholders whenever it sees fit, at such time and place, within or outside of Israel, as it may determine. In addition, the Companies Law provides that our board of directors is required to convene a special general meeting of our shareholders upon the written request of (i) any two or more of our directors, (ii) one-quarter or more of the serving members of our board of directors or (iii) one or more shareholders holding, in the aggregate, either (a) 5% or more of our outstanding issued shares and 1% or more of our outstanding voting power or (b) 5% or more of our outstanding voting power.</w:t>
      </w:r>
    </w:p>
    <w:p>
      <w:pPr>
        <w:spacing w:after="0" w:line="23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Under Israeli law, one or more shareholders holding at least 1% of the voting rights at the general meeting of shareholders may request that the board of directors include a matter in the agenda of a general meeting of shareholders to be convened in the future, provided that it is appropriate to discuss such a matter at the general meeting. Our amended and restated articles of association contain procedural guidelines and disclosure items with respect to the submission of shareholder proposals for general meetings.</w:t>
      </w:r>
    </w:p>
    <w:p>
      <w:pPr>
        <w:spacing w:after="0" w:line="24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Subject to the provisions of the Companies Law and the regulations promulgated thereunder, shareholders entitled to participate and vote at general meetings of shareholders are the shareholders of record on a date to be decided by the board of directors, which, as a company listed on an exchange outside Israel, may be between four and 40 days prior to the date of the meeting. Furthermore, the Companies Law requires that resolutions regarding the following matters must be passed at a general meeting of shareholders:</w:t>
      </w:r>
    </w:p>
    <w:p>
      <w:pPr>
        <w:spacing w:after="0" w:line="238" w:lineRule="exact"/>
        <w:rPr>
          <w:sz w:val="20"/>
          <w:szCs w:val="20"/>
          <w:color w:val="auto"/>
        </w:rPr>
      </w:pPr>
    </w:p>
    <w:p>
      <w:pPr>
        <w:ind w:left="1300" w:hanging="320"/>
        <w:spacing w:after="0"/>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amendments to our articles of association;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appointment, terms of service or and termination of service of our auditors;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appointment of directors, including external directors (if applicable);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23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The Companies Law requires that a notice of any annual general meeting or special general meeting be provided to shareholders at least 21 days prior to the meeting and, if the agenda of the meeting includes (among other things) the appointment or removal of directors, the approval of transactions with office holders or interested or related parties, or an approval of a merger, notice must be provided at least 35 days prior to the meeting. Under the Companies Law and our amended and restated articles of association, shareholders are not permitted to take action by way of written consent in lieu of a meeting.</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Quorum</w:t>
      </w:r>
    </w:p>
    <w:p>
      <w:pPr>
        <w:spacing w:after="0" w:line="28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Pursuant to our amended and restated articles of association, holders of our ordinary shares have one vote for each ordinary share held on all matters submitted to a vote before the shareholders at a general meeting of shareholders. The quorum required for our general meetings of shareholders consists of at least two shareholders present in person, by proxy or written ballot who hold or represent between them at least 25% of the total outstanding voting rights, within half an hour of the time fixed for the commencement of the general meeting. A general meeting adjourned for lack of a quorum shall be adjourned either to the same day in the next week, at the same time and place, to such day and at such time and place as indicated in the notice to such meeting, or to such day and at such time and place as the chairperson of the meeting shall determine.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 as described above.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539" w:gutter="0" w:footer="0" w:header="0"/>
        </w:sectPr>
      </w:pPr>
    </w:p>
    <w:bookmarkStart w:id="176" w:name="page177"/>
    <w:bookmarkEnd w:id="176"/>
    <w:p>
      <w:pPr>
        <w:spacing w:after="0"/>
        <w:rPr>
          <w:sz w:val="20"/>
          <w:szCs w:val="20"/>
          <w:color w:val="auto"/>
        </w:rPr>
      </w:pPr>
      <w:r>
        <w:rPr>
          <w:rFonts w:ascii="Arial" w:cs="Arial" w:eastAsia="Arial" w:hAnsi="Arial"/>
          <w:sz w:val="22"/>
          <w:szCs w:val="22"/>
          <w:b w:val="1"/>
          <w:bCs w:val="1"/>
          <w:i w:val="1"/>
          <w:iCs w:val="1"/>
          <w:color w:val="auto"/>
        </w:rPr>
        <w:t>Vote Requirements</w:t>
      </w:r>
    </w:p>
    <w:p>
      <w:pPr>
        <w:spacing w:after="0" w:line="2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Our amended and restated articles of association provide that all resolutions of our shareholders require a simple majority vote, unless otherwise required by the Companies Law or by our amended and restated articles of association. Under the Companies Law, certain actions require the approval of a special majority, including: (i) an extraordinary transaction with a controlling shareholder or in which the controlling shareholder has a personal interest, (ii) the terms of employment or other engagement of a controlling shareholder of the company or a controlling shareholder’s relative (even if such terms are not extraordinary) and (iii) certain compensation-related matters described in Item 6.C. our From 20-F “</w:t>
      </w:r>
      <w:r>
        <w:rPr>
          <w:rFonts w:ascii="Arial" w:cs="Arial" w:eastAsia="Arial" w:hAnsi="Arial"/>
          <w:sz w:val="19"/>
          <w:szCs w:val="19"/>
          <w:i w:val="1"/>
          <w:iCs w:val="1"/>
          <w:color w:val="auto"/>
        </w:rPr>
        <w:t>Directors, Senior</w:t>
      </w:r>
      <w:r>
        <w:rPr>
          <w:rFonts w:ascii="Arial" w:cs="Arial" w:eastAsia="Arial" w:hAnsi="Arial"/>
          <w:sz w:val="19"/>
          <w:szCs w:val="19"/>
          <w:color w:val="auto"/>
        </w:rPr>
        <w:t xml:space="preserve"> </w:t>
      </w:r>
      <w:r>
        <w:rPr>
          <w:rFonts w:ascii="Arial" w:cs="Arial" w:eastAsia="Arial" w:hAnsi="Arial"/>
          <w:sz w:val="19"/>
          <w:szCs w:val="19"/>
          <w:i w:val="1"/>
          <w:iCs w:val="1"/>
          <w:color w:val="auto"/>
        </w:rPr>
        <w:t>Management and Employees – Board Practices – Compensation Policy under the Companies Law</w:t>
      </w:r>
      <w:r>
        <w:rPr>
          <w:rFonts w:ascii="Arial" w:cs="Arial" w:eastAsia="Arial" w:hAnsi="Arial"/>
          <w:sz w:val="19"/>
          <w:szCs w:val="19"/>
          <w:color w:val="auto"/>
        </w:rPr>
        <w:t>”. Under our amended and</w:t>
      </w:r>
      <w:r>
        <w:rPr>
          <w:rFonts w:ascii="Arial" w:cs="Arial" w:eastAsia="Arial" w:hAnsi="Arial"/>
          <w:sz w:val="19"/>
          <w:szCs w:val="19"/>
          <w:i w:val="1"/>
          <w:iCs w:val="1"/>
          <w:color w:val="auto"/>
        </w:rPr>
        <w:t xml:space="preserve"> </w:t>
      </w:r>
      <w:r>
        <w:rPr>
          <w:rFonts w:ascii="Arial" w:cs="Arial" w:eastAsia="Arial" w:hAnsi="Arial"/>
          <w:sz w:val="19"/>
          <w:szCs w:val="19"/>
          <w:color w:val="auto"/>
        </w:rPr>
        <w:t>restated articles of association, the alteration of the rights, privileges, preferences or obligations of any class of our shares (to the extent there are classes other than ordinary shares) requires the approval of a simple majority of the class so affected (or such other percentage of the relevant class that may be set forth in the governing documents relevant to such class), in addition to a majority of all classes of shares voting together as a single class at a shareholder meeting.</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Under our amended and restated articles of association, the approval of the holders of at least 65% of the total voting power of our shareholders is generally required to remove any of our directors from office, to amend the provision requiring the approval of at least 65% of the total voting power of our shareholders to remove any of our directors from office, or certain other provisions regarding the size of our board and plurality voting in contested elections. Another exception to the simple majority vote requirement is a resolution for the voluntary winding up, or an approval of a scheme of arrangement or reorganization, of the company pursuant to Section 350 of the Companies Law, which requires the approval of a majority of the number of shareholders represented at the meeting and voting on the resolution, who hold at least 75% of the voting rights represented at the meeting and voting on the resolution.</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Access to Corporate Records</w:t>
      </w:r>
    </w:p>
    <w:p>
      <w:pPr>
        <w:spacing w:after="0" w:line="293"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color w:val="auto"/>
        </w:rPr>
        <w:t>Under the Companies Law, all shareholders generally have the right to review minutes of our general meetings, our shareholder register (including with respect to material shareholders), our articles of association, our financial statements, other documents as provided in the Companies Law, and any document we are required by law to file publicly with the Israeli Registrar of Companies or the Israeli Securities Authority. Any shareholder who specifies the purpose of its request may request to review any document in our possession that relates to any action or transaction with a related party which requires shareholder approval under the Companies Law. We may deny a request to review a document if we determine that the request was not made in good faith, that the document contains a trade secret or a patent or that the document’s disclosure may otherwise impair our interests.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Acquisitions under Israeli Law</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Full Tender Offer</w:t>
      </w:r>
    </w:p>
    <w:p>
      <w:pPr>
        <w:spacing w:after="0" w:line="28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A person wishing to acquire shares of a public Israeli company who would, as a result, hold over 90% of the target company’s voting rights or the target company’s issued and outstanding share capital (or of a class thereof), is required by the Companies Law to make a tender offer to all of the company’s shareholders for the purchase of all of the issued and outstanding shares of the company (or the applicable class). If (a) the shareholders who do not accept the offer hold less than 5% of the issued and outstanding share capital of the company (or the applicable class) and the shareholders who accept the offer constitute a majority of the offerees that do not have a personal interest in the acceptance of the tender offer or (b) the shareholders who did not accept the tender offer hold less than 2% of the issued and outstanding share capital of the company (or of the applicable class), all of the shares that the acquirer offered to purchase will be transferred to the acquirer by operation of law. A shareholder who had its shares so transferred may petition an Israeli court within six months from the date of acceptance of the full tender offer, regardless of whether such shareholder agreed to the offer, to determine whether the tender offer was for less than fair value and whether the fair value should be paid as determined by the court. However, an offeror may provide in the offer that a shareholder who accepted the offer will not be entitled to petition the court for appraisal rights as described in the preceding sentence, as long as the offeror and the company disclosed the information required by law in connection with the full tender offer. If the full tender offer was not accepted in accordance with any of the above alternatives, the acquirer may not acquire shares of the company that will increase its holdings to more than 90% of the company’s voting rights or the company’s issued and outstanding share capital (or of the applicable class) from shareholders who accepted the tender offer. Shares purchased in contradiction to the full tender offer rules under the Companies Law will have no rights and will become dormant shares.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593" w:gutter="0" w:footer="0" w:header="0"/>
        </w:sectPr>
      </w:pPr>
    </w:p>
    <w:bookmarkStart w:id="177" w:name="page178"/>
    <w:bookmarkEnd w:id="177"/>
    <w:p>
      <w:pPr>
        <w:spacing w:after="0"/>
        <w:rPr>
          <w:sz w:val="20"/>
          <w:szCs w:val="20"/>
          <w:color w:val="auto"/>
        </w:rPr>
      </w:pPr>
      <w:r>
        <w:rPr>
          <w:rFonts w:ascii="Arial" w:cs="Arial" w:eastAsia="Arial" w:hAnsi="Arial"/>
          <w:sz w:val="22"/>
          <w:szCs w:val="22"/>
          <w:b w:val="1"/>
          <w:bCs w:val="1"/>
          <w:i w:val="1"/>
          <w:iCs w:val="1"/>
          <w:color w:val="auto"/>
        </w:rPr>
        <w:t>Special Tender Offer</w:t>
      </w:r>
    </w:p>
    <w:p>
      <w:pPr>
        <w:spacing w:after="0" w:line="28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25% or more of the voting rights in the company. Similarly, the Companies Law provides that an acquisition of shares of an Israeli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These requirements do not apply if (i) the acquisition occurs in the context of a private placement by the company that received shareholder approval as a private placement whose purpose is to give the purchaser 25% or more of the voting rights in the company, if there is no person who holds 25% or more of the voting rights in the company or as a private placement whose purpose is to give the purchaser 45% of the voting rights in the company, if there is no person who holds 45% of the voting rights in the company, (ii) the acquisition was from a shareholder holding 25% or more of the voting rights in the company and resulted in the purchaser becoming a holder of 25% or more of the voting rights in the company, or (iii) the acquisition was from a shareholder holding more than 45% of the voting rights in the company and resulted in the purchaser becoming a holder of more than 45% of the voting rights in the company. A special tender offer must be extended to all shareholders of a company. A special tender offer may be consummated only if (i) at least 5% of the voting power attached to the company’s outstanding shares will be acquired by the offeror and (ii) the number of shares tendered in the offer exceeds the number of shares whose holders objected to the offer (excluding the purchaser, its controlling shareholders, holders of 25% or more of the voting rights in the company and any person having a personal interest in the acceptance of the tender offer, or anyone on their behalf, including any such person’s relatives and entities under their control).</w:t>
      </w:r>
    </w:p>
    <w:p>
      <w:pPr>
        <w:spacing w:after="0" w:line="200" w:lineRule="exact"/>
        <w:rPr>
          <w:sz w:val="20"/>
          <w:szCs w:val="20"/>
          <w:color w:val="auto"/>
        </w:rPr>
      </w:pPr>
    </w:p>
    <w:p>
      <w:pPr>
        <w:spacing w:after="0" w:line="284"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In the event that a special tender offer is made, a company’s board of directors is required to express its opinion on the advisability of the offer, or shall abstain from expressing any opinion if it is unable to do so, provided that it gives the reasons for its abstention. The board of directors shall also disclose any personal interest that any of the directors has with respect to the special tender offer or in connection therewith. An office holder in a target company who, in his or her capacity as an office holder, performs an action the purpose of which is to cause the failure of an existing or foreseeable special tender offer or is to impair the chances of its acceptance, is liable to the potential purchaser and shareholders for damages, unless such office holder acted in good faith and had reasonable grounds to believe he or she was acting for the benefit of the company. However, office holders of the target company may negotiate with the potential purchaser in order to improve the terms of the special tender offer, and may further negotiate with third-parties in order to obtain a competing offer.</w:t>
      </w:r>
    </w:p>
    <w:p>
      <w:pPr>
        <w:spacing w:after="0" w:line="20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If a special tender offer is accepted, then shareholders who did not respond to or that had objected the offer may accept the offer within four days of the last day set for the acceptance of the offer and they will be considered to have accepted the offer from the first day it was made.</w:t>
      </w:r>
    </w:p>
    <w:p>
      <w:pPr>
        <w:spacing w:after="0" w:line="2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In the event that a special tender offer is accepted, then the purchaser or any person or entity controlling it or under common control with the purchaser or such controlling person or entity at the time of the offer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 Shares purchased in contradiction to the special tender offer rules under the Companies Law will have no rights and will become dormant shares.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78" w:name="page179"/>
    <w:bookmarkEnd w:id="178"/>
    <w:p>
      <w:pPr>
        <w:spacing w:after="0"/>
        <w:rPr>
          <w:sz w:val="20"/>
          <w:szCs w:val="20"/>
          <w:color w:val="auto"/>
        </w:rPr>
      </w:pPr>
      <w:r>
        <w:rPr>
          <w:rFonts w:ascii="Arial" w:cs="Arial" w:eastAsia="Arial" w:hAnsi="Arial"/>
          <w:sz w:val="22"/>
          <w:szCs w:val="22"/>
          <w:b w:val="1"/>
          <w:bCs w:val="1"/>
          <w:i w:val="1"/>
          <w:iCs w:val="1"/>
          <w:color w:val="auto"/>
        </w:rPr>
        <w:t>Merger</w:t>
      </w:r>
    </w:p>
    <w:p>
      <w:pPr>
        <w:spacing w:after="0" w:line="287"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The Companies Law permits merger transactions if approved by each party’s board of directors and, unless certain conditions described under the Companies Law are met, a simple majority of the outstanding shares of each party to the merger that are represented and voting on the merger. 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such determination taking into account the financial status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spacing w:after="0" w:line="20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For purposes of the shareholder vote of a merging company whose shares are held by the other merging company, or by a person or entity holding 25% or more of the voting rights at the general meeting of shareholders of the other merging company, or by a person or entity holding the right to appoint 25% or more of the directors of the other merging company, unless a court rules otherwise, the merger will not be deemed approved if a majority of the shares voted on the matter at the general meeting of shareholders (excluding abstentions) that are held by shareholders other than the other party to the merger, or by any person or entity who holds 25% or more of the voting rights of the other party or the right to appoint 25% or more of the directors of the other party, or any one on their behalf including their relatives or corporations controlled by any of them, vote against the merger. In addition, if the non-surviving entity of the merger has more than one class of shares, the merger must be approved by each class of shareholders. If the transaction would have been approved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valuation of the merging companies and the consideration offered to the shareholders. If a merger is with a company’s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21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Under the Companies Law, each merging company must deliver to its secured creditors the merger proposal and inform its unsecured creditors of the merger proposal and its content. Upon the request of a creditor of either party to the proposed merger, the court may delay or prevent the merger if it concludes that there exists a reasonable concern that, as a result of the merger, the surviving company will be unable to satisfy the obligations of the merging company, and may further give instructions to secure the rights of creditors.</w:t>
      </w:r>
    </w:p>
    <w:p>
      <w:pPr>
        <w:spacing w:after="0" w:line="24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In addition, a merger may not be completed unless at least 50 days have passed from the date that a proposal for approval of the merger is filed with the Israeli Registrar of Companies and 30 days from the date that shareholder approval of both merging companies is obtained.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Measures</w:t>
      </w:r>
    </w:p>
    <w:p>
      <w:pPr>
        <w:spacing w:after="0" w:line="29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9"/>
          <w:szCs w:val="19"/>
          <w:color w:val="auto"/>
        </w:rPr>
        <w:t>The Companies Law allows us to create and issue shares having rights different from those attached to our ordinary shares, including shares providing certain preferred rights with respect to voting, distributions or other matters. No preferred shares are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attached to our issued and outstanding shares at a general meeting of our shareholders. The convening of the meeting, the shareholders entitled to participate and the vote required to be obtained at such a meeting will be subject to the requirements set forth in the Companies Law and our amended articles of association, as described above in ”—</w:t>
      </w:r>
      <w:r>
        <w:rPr>
          <w:rFonts w:ascii="Arial" w:cs="Arial" w:eastAsia="Arial" w:hAnsi="Arial"/>
          <w:sz w:val="19"/>
          <w:szCs w:val="19"/>
          <w:i w:val="1"/>
          <w:iCs w:val="1"/>
          <w:color w:val="auto"/>
        </w:rPr>
        <w:t>Shareholder Meetings</w:t>
      </w:r>
      <w:r>
        <w:rPr>
          <w:rFonts w:ascii="Arial" w:cs="Arial" w:eastAsia="Arial" w:hAnsi="Arial"/>
          <w:sz w:val="19"/>
          <w:szCs w:val="19"/>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79" w:name="page180"/>
    <w:bookmarkEnd w:id="179"/>
    <w:p>
      <w:pPr>
        <w:spacing w:after="0"/>
        <w:rPr>
          <w:sz w:val="20"/>
          <w:szCs w:val="20"/>
          <w:color w:val="auto"/>
        </w:rPr>
      </w:pPr>
      <w:r>
        <w:rPr>
          <w:rFonts w:ascii="Arial" w:cs="Arial" w:eastAsia="Arial" w:hAnsi="Arial"/>
          <w:sz w:val="22"/>
          <w:szCs w:val="22"/>
          <w:b w:val="1"/>
          <w:bCs w:val="1"/>
          <w:color w:val="auto"/>
        </w:rPr>
        <w:t>Borrowing Powers</w:t>
      </w:r>
    </w:p>
    <w:p>
      <w:pPr>
        <w:spacing w:after="0" w:line="29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Pursuant to the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Capital</w:t>
      </w:r>
    </w:p>
    <w:p>
      <w:pPr>
        <w:spacing w:after="0" w:line="29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Our amended and restated articles of association enable us to increase or reduce our share capital. Any such changes are subject to Israeli law and must be approved by a resolution duly passed by our shareholders at a general meeting of shareholders.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Exclusive Forum</w:t>
      </w:r>
    </w:p>
    <w:p>
      <w:pPr>
        <w:spacing w:after="0" w:line="293"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Our amended and restated articles of association provide that unless we consent in writing to the selection of an alternative forum, the federal district courts of the United States of America shall be the exclusive forum for the resolution of any complaint asserting a cause of action arising under the Securities Act. Section 22 of the Securities Act creates concurrent jurisdiction for federal and state courts over all such Securities Act actions, and accordingly, both state and federal courts have jurisdiction to entertain such claims. While the federal forum provision in our amended and restated articles of association does not restrict the ability of our shareholders to bring claims under the Securities Act, we recognize that it may limit shareholders’ ability to bring a claim in the judicial forum that they find favorable and may increase certain litigation costs, which may discourage the filing of claims under the Securities Act against the Company, its directors and officers. However, the enforceability of similar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courts would enforce the exclusive forum provisions in our amended and restated articles of association. If a court were to find the choice of forum provision contained in our amended and restated articles of association to be inapplicable or unenforceable in an action, we may incur additional costs associated with resolving such action in other jurisdictions, which could materially adversely affect our business, financial condition and results of operations. We note that investors cannot waive compliance with the federal securities laws and the rules and regulations thereunder may have the effect of discouraging lawsuits against our directors and officers.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American Depositary Shares</w:t>
      </w:r>
    </w:p>
    <w:p>
      <w:pPr>
        <w:spacing w:after="0" w:line="2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Citibank, N.A. (“Citibank”), is our depositary bank for the American Depositary Shares representing our ordinary shares. Citibank’s depositary offices are located at 388 Greenwich Street, New York, New York 10013. American Depositary Shares are frequently referred to as “ADSs” and represent ownership interests in securities that are on deposit with the depositary bank. ADSs may be represented by certificates that are commonly known as “American Depositary Receipts” or “ADRs.” The depositary bank typically appoints a custodian to safekeep the securities on deposit. In this case, the custodian is Citibank N.A. (London Branch), located at 25 Canada Square, Canary Wharf, London, E14 5LB, United Kingdom. References to our ordinary shares in this Description of American Depositary Shares shall mean the depositary interests representing the right to receive our ordinary shares. For more information on the depositary interests representing our ordinary shares, please review the deposit agreement.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80" w:name="page181"/>
    <w:bookmarkEnd w:id="180"/>
    <w:p>
      <w:pPr>
        <w:jc w:val="both"/>
        <w:ind w:firstLine="648"/>
        <w:spacing w:after="0" w:line="327" w:lineRule="auto"/>
        <w:rPr>
          <w:sz w:val="20"/>
          <w:szCs w:val="20"/>
          <w:color w:val="auto"/>
        </w:rPr>
      </w:pPr>
      <w:r>
        <w:rPr>
          <w:rFonts w:ascii="Arial" w:cs="Arial" w:eastAsia="Arial" w:hAnsi="Arial"/>
          <w:sz w:val="19"/>
          <w:szCs w:val="19"/>
          <w:color w:val="auto"/>
        </w:rPr>
        <w:t>Citibank was appointed as depositary bank pursuant to a deposit agreement. The form of the deposit agreement will be filed with the SEC under cover of a Registration Statement on Form F-6. You may obtain a copy of the deposit agreement from the SEC’s website (www.sec.gov). Please refer to Registration Number 333- 256452 when retrieving such copy.</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This is a summary description of the material terms of the ADSs and of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204"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Each ADS represents the right to receive, and to exercise the beneficial ownership interests in, two ordinary shares that are on deposit with the depositary bank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We and the depositary bank may agree to change the ADS-to-Share ratio by amending the deposit agreement. This amendment may give rise to, or change, the depositary fees payable by ADS owners. The custodian, the depositary bank and their respective nominees will hold all deposited property for the benefit of the holders and beneficial owners of ADSs. The deposited property does not constitute the proprietary assets of the depositary bank, the custodian or their nominees. Beneficial ownership in the deposited property will under the terms of the deposit agreement be vested in the beneficial owners of the ADSs. The depositary bank,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bank, and the depositary bank (on behalf of the owners of the corresponding ADSs) directly, or indirectly, through the custodian or their respective nominees, in each case upon the terms of the deposit agreement.</w:t>
      </w:r>
    </w:p>
    <w:p>
      <w:pPr>
        <w:spacing w:after="0" w:line="200" w:lineRule="exact"/>
        <w:rPr>
          <w:sz w:val="20"/>
          <w:szCs w:val="20"/>
          <w:color w:val="auto"/>
        </w:rPr>
      </w:pPr>
    </w:p>
    <w:p>
      <w:pPr>
        <w:spacing w:after="0" w:line="2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bank. As an ADS holder you appoint the depositary bank to act on your behalf in certain circumstances. The deposit agreement and the ADRs are governed by New York law. However, our obligations to the holders of ordinary shares will continue to be governed by the laws of the State of Israel and, to the extent applicable, the laws of England and Wales, which may be different from the laws in the United States.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In addition, applicable laws and regulations may require you to satisfy reporting requirements and obtain regulatory approvals in certain circumstances. You are solely responsible for complying with such reporting requirements and obtaining such approvals. None of the depositary bank, the custodian, us or any of their or our respective agents or affiliates shall be required to take any actions whatsoever on your behalf to satisfy such reporting requirements or obtain such regulatory approvals under applicable laws and regulations. You agree to comply with information requests from us pursuant to applicable laws, stock exchange rules and our articles of association. We may restrict transfers of ADSs and take other actions necessary to comply with any applicable ownership restrictions.</w:t>
      </w:r>
    </w:p>
    <w:p>
      <w:pPr>
        <w:spacing w:after="0" w:line="23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Owners of ADSs, are not treated as one of our shareholders and will not have direct shareholder rights. The depositary bank will hold on the owner’s behalf the shareholder rights attached to the ordinary shares underlying your ADSs. Owners of ADSs will be able to exercise the shareholders rights for the ordinary shares represented by your ADSs through the depositary bank only to the extent contemplated in the deposit agreement. To exercise any shareholder rights not contemplated in the deposit agreement ADS owners will need to arrange for the cancellation of your ADSs and become a direct shareholder.</w:t>
      </w:r>
    </w:p>
    <w:p>
      <w:pPr>
        <w:sectPr>
          <w:pgSz w:w="11900" w:h="16838" w:orient="portrait"/>
          <w:cols w:equalWidth="0" w:num="1">
            <w:col w:w="11240"/>
          </w:cols>
          <w:pgMar w:left="320" w:top="402" w:right="3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181" w:name="page182"/>
    <w:bookmarkEnd w:id="181"/>
    <w:p>
      <w:pPr>
        <w:jc w:val="both"/>
        <w:ind w:firstLine="648"/>
        <w:spacing w:after="0" w:line="300" w:lineRule="auto"/>
        <w:rPr>
          <w:sz w:val="20"/>
          <w:szCs w:val="20"/>
          <w:color w:val="auto"/>
        </w:rPr>
      </w:pPr>
      <w:r>
        <w:rPr>
          <w:rFonts w:ascii="Arial" w:cs="Arial" w:eastAsia="Arial" w:hAnsi="Arial"/>
          <w:sz w:val="19"/>
          <w:szCs w:val="19"/>
          <w:color w:val="auto"/>
        </w:rPr>
        <w:t>The manner in which the ADSs are owned (e.g., in a brokerage account vs. as registered holder, or as holder of certificated vs. uncertificated ADSs) may affect your rights and obligations, and the manner in which, and extent to which, the depositary bank’s services are made available to an owner. Owners of ADSs may hold ADSs either by means of an ADR registered in your name, through a brokerage or safekeeping account, or through an account established by the depositary bank in the owner’s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an owner decides to hold ADSs through your brokerage or safekeeping account, the owner must rely on the procedures of your broker or bank to assert your rights as ADS owner. Banks and brokers typically hold securities such as the ADSs through clearing and settlement systems such as DTC. The procedures of such clearing and settlement systems may limit the ability to exercise rights as an owner of ADSs. Owners should consult with a broker or bank if they have any questions concerning these limitations and procedures. All ADSs held through DTC will be registered in the name of a nominee of DTC, which nominee will be the only “holder” of such ADSs for purposes of the deposit agreement and any applicable ADR. This summary description assumes owners have opted to own the ADSs directly by means of an ADS registered in the owner’s name and, as such, we will refer to such as the “holder.” When we refer to “you’ or “owner,” we assume the reader owns ADSs and will own ADSs at the relevant time.</w:t>
      </w:r>
    </w:p>
    <w:p>
      <w:pPr>
        <w:spacing w:after="0" w:line="200" w:lineRule="exact"/>
        <w:rPr>
          <w:sz w:val="20"/>
          <w:szCs w:val="20"/>
          <w:color w:val="auto"/>
        </w:rPr>
      </w:pPr>
    </w:p>
    <w:p>
      <w:pPr>
        <w:spacing w:after="0" w:line="28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The registration of the ordinary shares in the name of the depositary bank or the custodian shall, to the maximum extent permitted by applicable law, vest in the depositary bank or the custodian the record ownership in the applicable ordinary shares with the beneficial ownership rights and interests in such ordinary shares being at all times vested with the beneficial owners of the ADSs representing the ordinary shares. The depositary bank or the custodian shall at all times be entitled to exercise the beneficial ownership rights in all deposited property, in each case only on behalf of the holders and beneficial owners of the ADSs representing the deposited property.</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 and Distributions</w:t>
      </w:r>
    </w:p>
    <w:p>
      <w:pPr>
        <w:spacing w:after="0" w:line="29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As a holder of ADSs, owners generally have the right to receive the distributions we make on the securities deposited with the custodian. An owner’s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 of Cash</w:t>
      </w:r>
    </w:p>
    <w:p>
      <w:pPr>
        <w:spacing w:after="0" w:line="2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 converted into U.S. dollars and for the distribution of the U.S. dollars to the holders, subject to the laws and regulations of the State of Israel.</w:t>
      </w:r>
    </w:p>
    <w:p>
      <w:pPr>
        <w:spacing w:after="0" w:line="24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sectPr>
          <w:pgSz w:w="11900" w:h="16838" w:orient="portrait"/>
          <w:cols w:equalWidth="0" w:num="1">
            <w:col w:w="11240"/>
          </w:cols>
          <w:pgMar w:left="320" w:top="402"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182" w:name="page183"/>
    <w:bookmarkEnd w:id="182"/>
    <w:p>
      <w:pPr>
        <w:spacing w:after="0"/>
        <w:rPr>
          <w:sz w:val="20"/>
          <w:szCs w:val="20"/>
          <w:color w:val="auto"/>
        </w:rPr>
      </w:pPr>
      <w:r>
        <w:rPr>
          <w:rFonts w:ascii="Arial" w:cs="Arial" w:eastAsia="Arial" w:hAnsi="Arial"/>
          <w:sz w:val="22"/>
          <w:szCs w:val="22"/>
          <w:b w:val="1"/>
          <w:bCs w:val="1"/>
          <w:color w:val="auto"/>
        </w:rPr>
        <w:t>Distributions of Shares</w:t>
      </w:r>
    </w:p>
    <w:p>
      <w:pPr>
        <w:spacing w:after="0" w:line="2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Whenever we make a free distribution of ordinary shares for the securities on deposit with the custodian, we will deposit the applicable number of ordinary shares with the custodian. Upon receipt of confirmation of such deposit, the depositary bank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24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bank may sell all or a portion of the new ordinary shares so distributed.</w:t>
      </w:r>
    </w:p>
    <w:p>
      <w:pPr>
        <w:spacing w:after="0" w:line="24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No such distribution of new ADSs will be made if it would violate a law (e.g., the U.S. securities laws) or if it is not operationally practicable. If the depositary bank does not distribute new ADSs as described above, it may sell the ordinary shares received upon the terms described in the deposit agreement and will distribute the proceeds of the sale as in the case of a distribution of cash.</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 of Rights</w:t>
      </w:r>
    </w:p>
    <w:p>
      <w:pPr>
        <w:spacing w:after="0" w:line="2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Whenever we intend to distribute rights to subscribe for additional ordinary shares, we will give prior notice to the depositary bank and we will assist the depositary bank in determining whether it is lawful and reasonably practicable to distribute rights to subscribe for additional ADSs to holders.</w:t>
      </w:r>
    </w:p>
    <w:p>
      <w:pPr>
        <w:spacing w:after="0" w:line="23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The depositary bank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bank is not obligated to establish procedures to facilitate the distribution and exercise by holders of rights to subscribe for new ordinary shares other than in the form of ADSs.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depositary bank will not distribute the rights to you if:</w:t>
      </w:r>
    </w:p>
    <w:p>
      <w:pPr>
        <w:spacing w:after="0" w:line="281" w:lineRule="exact"/>
        <w:rPr>
          <w:sz w:val="20"/>
          <w:szCs w:val="20"/>
          <w:color w:val="auto"/>
        </w:rPr>
      </w:pPr>
    </w:p>
    <w:p>
      <w:pPr>
        <w:ind w:left="1300" w:hanging="320"/>
        <w:spacing w:after="0"/>
        <w:tabs>
          <w:tab w:leader="none" w:pos="13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 do not timely request that the rights be distributed to you or we request that the rights not be distributed to you; 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 fail to deliver satisfactory documents to the depositary bank; 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28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Elective Distributions</w:t>
      </w:r>
    </w:p>
    <w:p>
      <w:pPr>
        <w:spacing w:after="0" w:line="2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Whenever we intend to distribute a dividend payable at the election of shareholders either in cash or in additional shares, we will give prior notice thereof to the depositary bank and will indicate whether we wish the elective distribution to be made available to you. In such case, we will assist the depositary bank in determining whether such distribution is lawful and reasonably practicable.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83" w:name="page184"/>
    <w:bookmarkEnd w:id="183"/>
    <w:p>
      <w:pPr>
        <w:jc w:val="both"/>
        <w:ind w:firstLine="648"/>
        <w:spacing w:after="0" w:line="327" w:lineRule="auto"/>
        <w:rPr>
          <w:sz w:val="20"/>
          <w:szCs w:val="20"/>
          <w:color w:val="auto"/>
        </w:rPr>
      </w:pPr>
      <w:r>
        <w:rPr>
          <w:rFonts w:ascii="Arial" w:cs="Arial" w:eastAsia="Arial" w:hAnsi="Arial"/>
          <w:sz w:val="19"/>
          <w:szCs w:val="19"/>
          <w:color w:val="auto"/>
        </w:rPr>
        <w:t>The depositary bank will make the election available to you only if it is reasonably practicable and if we have provided all of the documentation contemplated in the deposit agreement. In such case, the depositary bank will establish procedures to enable you to elect to receive either cash or additional ADSs, in each case as described in the deposit agreement.</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22"/>
          <w:szCs w:val="22"/>
          <w:color w:val="auto"/>
        </w:rPr>
        <w:t>If the election is not made available to you, you will receive either cash or additional ADSs, depending on what a shareholder in the State of Israel would receive upon failing to make an election, as more fully described in the deposit agreement.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Distributions</w:t>
      </w:r>
    </w:p>
    <w:p>
      <w:pPr>
        <w:spacing w:after="0" w:line="293"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Whenever we intend to distribute property other than cash, ordinary shares or rights to subscribe for additional ordinary shares, we will notify the depositary bank in advance and will indicate whether we wish such distribution to be made to you. If so, we will assist the depositary bank in determining whether such distribution to holders is lawful and reasonably practicable.</w:t>
      </w:r>
    </w:p>
    <w:p>
      <w:pPr>
        <w:spacing w:after="0" w:line="1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If it is reasonably practicable to distribute such property to you and if we provide to the depositary bank all of the documentation contemplated in the deposit agreement, the depositary bank will distribute the property to the holders in a manner it deems practicable.</w:t>
      </w:r>
    </w:p>
    <w:p>
      <w:pPr>
        <w:spacing w:after="0" w:line="23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depositary bank will not distribute the property to you and will sell the property if:</w:t>
      </w:r>
    </w:p>
    <w:p>
      <w:pPr>
        <w:spacing w:after="0" w:line="281" w:lineRule="exact"/>
        <w:rPr>
          <w:sz w:val="20"/>
          <w:szCs w:val="20"/>
          <w:color w:val="auto"/>
        </w:rPr>
      </w:pPr>
    </w:p>
    <w:p>
      <w:pPr>
        <w:ind w:left="1300" w:hanging="320"/>
        <w:spacing w:after="0"/>
        <w:tabs>
          <w:tab w:leader="none" w:pos="1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we do not request that the property be distributed to you or if we request that the property not be distributed to you; 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we do not deliver satisfactory documents to the depositary bank; 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depositary bank determines that all or a portion of the distribution to you is not reasonably practicable.</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proceeds of such a sale will be distributed to holders as in the case of a cash distribution.</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Redemption</w:t>
      </w:r>
    </w:p>
    <w:p>
      <w:pPr>
        <w:spacing w:after="0" w:line="2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the holders.</w:t>
      </w:r>
    </w:p>
    <w:p>
      <w:pPr>
        <w:spacing w:after="0" w:line="23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The custodian will be instructed to surrender the shares being redeemed against payment of the applicable redemption price. The depositary bank will convert into U.S. dollars upon the terms of the deposit agreement the redemption funds received in a currency other than U.S. dollars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retired will be selected by lot or on a pro rata basis, as the depositary bank may determine.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84" w:name="page185"/>
    <w:bookmarkEnd w:id="184"/>
    <w:p>
      <w:pPr>
        <w:spacing w:after="0"/>
        <w:rPr>
          <w:sz w:val="20"/>
          <w:szCs w:val="20"/>
          <w:color w:val="auto"/>
        </w:rPr>
      </w:pPr>
      <w:r>
        <w:rPr>
          <w:rFonts w:ascii="Arial" w:cs="Arial" w:eastAsia="Arial" w:hAnsi="Arial"/>
          <w:sz w:val="22"/>
          <w:szCs w:val="22"/>
          <w:b w:val="1"/>
          <w:bCs w:val="1"/>
          <w:color w:val="auto"/>
        </w:rPr>
        <w:t>Changes Affecting Ordinary Shares</w:t>
      </w:r>
    </w:p>
    <w:p>
      <w:pPr>
        <w:spacing w:after="0" w:line="2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the Company.</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If any such change were to occur, your ADSs would, to the extent permitted by law and the deposit agreement, represent the right to receive the property received or exchanged in respect of the ordinary shares held on deposit. The depositary bank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ordinary shares. If the depositary bank may not lawfully distribute such property to you, the depositary bank may sell such property and distribute the net proceeds to you as in the case of a cash distribution.</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Issuance of ADSs Upon Deposit of Ordinary Shares</w:t>
      </w:r>
    </w:p>
    <w:p>
      <w:pPr>
        <w:spacing w:after="0" w:line="2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Upon completion of the IPO, the ordinary shares being offered pursuant to the IPO were deposited by us with the custodian and the depositary bank issued ADSs to the underwriters.</w:t>
      </w:r>
    </w:p>
    <w:p>
      <w:pPr>
        <w:spacing w:after="0" w:line="22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Following the IPO, the depositary bank may create ADSs on your behalf if you or your broker deposit ordinary shares with the custodian. The depositary bank will deliver these ADSs to the person you indicate only after you pay any applicable issuance fees and any charges and taxes payable for the transfer of the ordinary shares to the custodian and provide such documentation as may be required pursuant to the deposit agreement. Your ability to deposit ordinary shares and receive ADSs may be limited by legal considerations under the laws of the United States and the State of Israel applicable at the time of deposit.</w:t>
      </w:r>
    </w:p>
    <w:p>
      <w:pPr>
        <w:spacing w:after="0" w:line="20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issuance of ADSs may be delayed until the depositary bank or the custodian receives confirmation that all required approvals have been given and that the ordinary shares have been duly transferred to the custodian. The depositary bank will only issue ADSs in whole numbers.</w:t>
      </w:r>
    </w:p>
    <w:p>
      <w:pPr>
        <w:spacing w:after="0" w:line="2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When you make a deposit of ordinary shares, you will be responsible for transferring good and valid title to the depositary bank. As such, you will be deemed to represent and warrant that:</w:t>
      </w:r>
    </w:p>
    <w:p>
      <w:pPr>
        <w:spacing w:after="0" w:line="222" w:lineRule="exact"/>
        <w:rPr>
          <w:sz w:val="20"/>
          <w:szCs w:val="20"/>
          <w:color w:val="auto"/>
        </w:rPr>
      </w:pPr>
    </w:p>
    <w:p>
      <w:pPr>
        <w:ind w:left="1300" w:hanging="320"/>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ordinary shares are duly authorized, validly issued, fully paid, non-assessable and legally obtained.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All preemptive (and similar) rights, if any, with respect to such ordinary shares have been validly waived or exercised.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You are duly authorized to deposit the ordinary shares.</w:t>
      </w:r>
    </w:p>
    <w:p>
      <w:pPr>
        <w:spacing w:after="0" w:line="225" w:lineRule="exact"/>
        <w:rPr>
          <w:rFonts w:ascii="Arial" w:cs="Arial" w:eastAsia="Arial" w:hAnsi="Arial"/>
          <w:sz w:val="18"/>
          <w:szCs w:val="18"/>
          <w:color w:val="auto"/>
        </w:rPr>
      </w:pPr>
    </w:p>
    <w:p>
      <w:pPr>
        <w:ind w:left="1300" w:right="20" w:hanging="320"/>
        <w:spacing w:after="0" w:line="342" w:lineRule="auto"/>
        <w:tabs>
          <w:tab w:leader="none" w:pos="13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123" w:lineRule="exact"/>
        <w:rPr>
          <w:rFonts w:ascii="Arial" w:cs="Arial" w:eastAsia="Arial" w:hAnsi="Arial"/>
          <w:sz w:val="16"/>
          <w:szCs w:val="16"/>
          <w:color w:val="auto"/>
        </w:rPr>
      </w:pPr>
    </w:p>
    <w:p>
      <w:pPr>
        <w:ind w:left="1300" w:hanging="320"/>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ordinary shares presented for deposit have not been stripped of any rights or entitlements.</w:t>
      </w:r>
    </w:p>
    <w:p>
      <w:pPr>
        <w:spacing w:after="0" w:line="285"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If any of the representations or warranties are incorrect in any way, we and the depositary bank may, at your cost and expense, take any and all actions necessary to correct the consequences of the misrepresentations.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85" w:name="page186"/>
    <w:bookmarkEnd w:id="185"/>
    <w:p>
      <w:pPr>
        <w:spacing w:after="0"/>
        <w:rPr>
          <w:sz w:val="20"/>
          <w:szCs w:val="20"/>
          <w:color w:val="auto"/>
        </w:rPr>
      </w:pPr>
      <w:r>
        <w:rPr>
          <w:rFonts w:ascii="Arial" w:cs="Arial" w:eastAsia="Arial" w:hAnsi="Arial"/>
          <w:sz w:val="22"/>
          <w:szCs w:val="22"/>
          <w:b w:val="1"/>
          <w:bCs w:val="1"/>
          <w:color w:val="auto"/>
        </w:rPr>
        <w:t>Transfer, Combination and Split Up of ADRs</w:t>
      </w:r>
    </w:p>
    <w:p>
      <w:pPr>
        <w:spacing w:after="0" w:line="293" w:lineRule="exact"/>
        <w:rPr>
          <w:sz w:val="20"/>
          <w:szCs w:val="20"/>
          <w:color w:val="auto"/>
        </w:rPr>
      </w:pPr>
    </w:p>
    <w:p>
      <w:pPr>
        <w:ind w:firstLine="648"/>
        <w:spacing w:after="0" w:line="301" w:lineRule="auto"/>
        <w:rPr>
          <w:sz w:val="20"/>
          <w:szCs w:val="20"/>
          <w:color w:val="auto"/>
        </w:rPr>
      </w:pPr>
      <w:r>
        <w:rPr>
          <w:rFonts w:ascii="Arial" w:cs="Arial" w:eastAsia="Arial" w:hAnsi="Arial"/>
          <w:sz w:val="21"/>
          <w:szCs w:val="21"/>
          <w:color w:val="auto"/>
        </w:rPr>
        <w:t>As an ADR holder, you are entitled to transfer, combine or split up your ADRs and the ADSs evidenced thereby. For transfers of ADRs, you will have to surrender the ADRs to be transferred to the depositary bank and also must:</w:t>
      </w:r>
    </w:p>
    <w:p>
      <w:pPr>
        <w:spacing w:after="0" w:line="198" w:lineRule="exact"/>
        <w:rPr>
          <w:sz w:val="20"/>
          <w:szCs w:val="20"/>
          <w:color w:val="auto"/>
        </w:rPr>
      </w:pPr>
    </w:p>
    <w:p>
      <w:pPr>
        <w:ind w:left="1300" w:hanging="320"/>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ensure that the surrendered ADR is properly endorsed or otherwise in proper form for transfer;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provide such proof of identity and genuineness of signatures as the depositary bank deems appropriate;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United States; and</w:t>
      </w:r>
    </w:p>
    <w:p>
      <w:pPr>
        <w:spacing w:after="0" w:line="279"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23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To have your ADRs either combined or split up, you must surrender the ADRs in question to the depositary bank with your request to have them combined or split up, and you must pay all applicable fees, charges and expenses payable by ADR holders, pursuant to the terms of the deposit agreement, upon a combination or split up of ADRs.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Withdrawal of Ordinary Shares Upon Cancellation of ADSs</w:t>
      </w:r>
    </w:p>
    <w:p>
      <w:pPr>
        <w:spacing w:after="0" w:line="2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As a holder, you will be entitled to present your ADSs to the depositary bank for cancellation and then receive the corresponding number of underlying ordinary shares at the custodian’s offices. Your ability to withdraw the ordinary shares held in respect of the ADSs may be limited by legal considerations under the laws of the United States and the State of Israel applicable at the time of withdrawal. In order to withdraw the ordinary shares represented by your ADSs, you will be required to pay to the depositary bank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23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If you hold ADSs registered in your name, the depositary bank may ask you to provide proof of identity and genuineness of any signature and such other documents as the depositary bank may deem appropriate before it will cancel your ADSs. The withdrawal of the ordinary shares represented by your ADSs may be delayed until the depositary bank receives satisfactory evidence of compliance with all applicable laws and regulations. Please keep in mind that the depositary bank will only accept ADSs for cancellation that represent a whole number of securities on deposit.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You will have the right to withdraw the securities represented by your ADSs at any time except for:</w:t>
      </w:r>
    </w:p>
    <w:p>
      <w:pPr>
        <w:spacing w:after="0" w:line="281" w:lineRule="exact"/>
        <w:rPr>
          <w:sz w:val="20"/>
          <w:szCs w:val="20"/>
          <w:color w:val="auto"/>
        </w:rPr>
      </w:pPr>
    </w:p>
    <w:p>
      <w:pPr>
        <w:ind w:left="1300" w:hanging="320"/>
        <w:spacing w:after="0" w:line="277" w:lineRule="auto"/>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Obligations to pay fees, taxes and similar charges.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w:t>
      </w:r>
    </w:p>
    <w:p>
      <w:pPr>
        <w:spacing w:after="0" w:line="2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The deposit agreement may not be modified to impair your right to withdraw the securities represented by your ADSs except to comply with mandatory provisions of law.</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2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As a holder, you generally have the right under the deposit agreement to instruct the depositary bank to exercise the voting rights for the ordinary shares represented by your ADSs. The voting rights of holders of ordinary shares are described in the section titled “Description of Share Capital and Articles of Association” in.</w:t>
      </w:r>
    </w:p>
    <w:p>
      <w:pPr>
        <w:spacing w:after="0" w:line="23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At our request, the depositary bank will distribute to you any notice of shareholders’ meeting received from us together with information explaining how to instruct the depositary bank to exercise the voting rights of the securities represented by ADSs.</w:t>
      </w:r>
    </w:p>
    <w:p>
      <w:pPr>
        <w:sectPr>
          <w:pgSz w:w="11900" w:h="16838" w:orient="portrait"/>
          <w:cols w:equalWidth="0" w:num="1">
            <w:col w:w="11240"/>
          </w:cols>
          <w:pgMar w:left="320" w:top="396" w:right="339" w:bottom="106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060" w:gutter="0" w:footer="0" w:header="0"/>
          <w:type w:val="continuous"/>
        </w:sectPr>
      </w:pPr>
    </w:p>
    <w:bookmarkStart w:id="186" w:name="page187"/>
    <w:bookmarkEnd w:id="186"/>
    <w:p>
      <w:pPr>
        <w:jc w:val="both"/>
        <w:ind w:firstLine="648"/>
        <w:spacing w:after="0" w:line="276" w:lineRule="auto"/>
        <w:rPr>
          <w:sz w:val="20"/>
          <w:szCs w:val="20"/>
          <w:color w:val="auto"/>
        </w:rPr>
      </w:pPr>
      <w:r>
        <w:rPr>
          <w:rFonts w:ascii="Arial" w:cs="Arial" w:eastAsia="Arial" w:hAnsi="Arial"/>
          <w:sz w:val="22"/>
          <w:szCs w:val="22"/>
          <w:color w:val="auto"/>
        </w:rPr>
        <w:t>If the depositary bank timely receives voting instructions from a holder of ADSs, it will endeavor to vote the securities (in person or by proxy) represented by the holder’s ADSs in accordance with such voting instructions.</w:t>
      </w:r>
    </w:p>
    <w:p>
      <w:pPr>
        <w:spacing w:after="0" w:line="228"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Securities for which no voting instructions have been received will not be voted (except as otherwise contemplated in the deposit agreement). Please note that the ability of the depositary bank to carry out voting instructions may be limited by practical and legal limitations and the terms of the securities on deposit. We cannot assure you that you will receive voting materials in time to enable you to return voting instructions to the depositary bank in a timely manner.</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Amendments and Termination</w:t>
      </w:r>
    </w:p>
    <w:p>
      <w:pPr>
        <w:spacing w:after="0" w:line="2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We may agree with the depositary bank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24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239"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We have the right to direct the depositary bank to terminate the deposit agreement. Similarly, the depositary bank may in certain circumstances on its own initiative terminate the deposit agreement. In either case, the depositary bank must give notice to the holders at least 30 days before termination. Until termination, your rights under the deposit agreement will be unaffected.</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After termination, the depositary bank will continue to collect distributions received (but will not distribute any such property until you request the cancellation of your ADSs) and sell the securities held on deposit. 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spacing w:after="0" w:line="20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In connection with any termination of the deposit agreement, the depositary bank may, but shall not be obliged to, independently and without the need for any action by us, make available to owners of ADSs a means to withdraw the ordinary shares and other deposited securities represented by ADSs and to direct the depositary of such ordinary shares into an unsponsored American depositary share program established by the depositary bank, upon such terms and conditions as the depositary bank may deem reasonably appropriate, subject however, in each case, to satisfaction of the applicable registration requirements by the depositary bank.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 and charges of, and reimbursement of the applicable expenses incurred by, the depositary bank.</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Books of Depositary</w:t>
      </w:r>
    </w:p>
    <w:p>
      <w:pPr>
        <w:spacing w:after="0" w:line="2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depositary bank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239"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The depositary bank will maintain in New York facilities to record and process the issuance, cancellation, combination, split-up and transfer of ADSs. These facilities may be closed from time to time, to the extent not prohibited by law.</w:t>
      </w:r>
    </w:p>
    <w:p>
      <w:pPr>
        <w:sectPr>
          <w:pgSz w:w="11900" w:h="16838" w:orient="portrait"/>
          <w:cols w:equalWidth="0" w:num="1">
            <w:col w:w="11240"/>
          </w:cols>
          <w:pgMar w:left="320" w:top="402" w:right="339" w:bottom="1440" w:gutter="0" w:footer="0" w:header="0"/>
        </w:sect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187" w:name="page188"/>
    <w:bookmarkEnd w:id="187"/>
    <w:p>
      <w:pPr>
        <w:spacing w:after="0"/>
        <w:rPr>
          <w:sz w:val="20"/>
          <w:szCs w:val="20"/>
          <w:color w:val="auto"/>
        </w:rPr>
      </w:pPr>
      <w:r>
        <w:rPr>
          <w:rFonts w:ascii="Arial" w:cs="Arial" w:eastAsia="Arial" w:hAnsi="Arial"/>
          <w:sz w:val="22"/>
          <w:szCs w:val="22"/>
          <w:b w:val="1"/>
          <w:bCs w:val="1"/>
          <w:color w:val="auto"/>
        </w:rPr>
        <w:t>Limitations on Obligations and Liabilities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deposit agreement limits our obligations and the depositary bank’s obligations to you. Please note the following:</w:t>
      </w:r>
    </w:p>
    <w:p>
      <w:pPr>
        <w:spacing w:after="0" w:line="315" w:lineRule="exact"/>
        <w:rPr>
          <w:sz w:val="20"/>
          <w:szCs w:val="20"/>
          <w:color w:val="auto"/>
        </w:rPr>
      </w:pPr>
    </w:p>
    <w:p>
      <w:pPr>
        <w:ind w:left="1300" w:hanging="320"/>
        <w:spacing w:after="0" w:line="277" w:lineRule="auto"/>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We and the depositary bank are obligated only to take the actions specifically stated in the deposit agreement without negligence or bad faith.</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depositary bank disclaims any liability for any failure to carry out voting instructions, for any manner in which a vote is cast or for the effect of any vote, provided it acts in good faith and in accordance with the terms of the deposit agreement.</w:t>
      </w:r>
    </w:p>
    <w:p>
      <w:pPr>
        <w:spacing w:after="0" w:line="170" w:lineRule="exact"/>
        <w:rPr>
          <w:rFonts w:ascii="Arial" w:cs="Arial" w:eastAsia="Arial" w:hAnsi="Arial"/>
          <w:sz w:val="18"/>
          <w:szCs w:val="18"/>
          <w:color w:val="auto"/>
        </w:rPr>
      </w:pPr>
    </w:p>
    <w:p>
      <w:pPr>
        <w:jc w:val="both"/>
        <w:ind w:left="1300" w:hanging="320"/>
        <w:spacing w:after="0" w:line="257" w:lineRule="auto"/>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depositary bank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187" w:lineRule="exact"/>
        <w:rPr>
          <w:rFonts w:ascii="Arial" w:cs="Arial" w:eastAsia="Arial" w:hAnsi="Arial"/>
          <w:sz w:val="18"/>
          <w:szCs w:val="18"/>
          <w:color w:val="auto"/>
        </w:rPr>
      </w:pPr>
    </w:p>
    <w:p>
      <w:pPr>
        <w:ind w:left="1300" w:hanging="320"/>
        <w:spacing w:after="0"/>
        <w:tabs>
          <w:tab w:leader="none" w:pos="13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We and the depositary bank will not be obligated to perform any act that is inconsistent with the terms of the deposit agreement.</w:t>
      </w:r>
    </w:p>
    <w:p>
      <w:pPr>
        <w:spacing w:after="0" w:line="236" w:lineRule="exact"/>
        <w:rPr>
          <w:rFonts w:ascii="Arial" w:cs="Arial" w:eastAsia="Arial" w:hAnsi="Arial"/>
          <w:sz w:val="17"/>
          <w:szCs w:val="17"/>
          <w:color w:val="auto"/>
        </w:rPr>
      </w:pPr>
    </w:p>
    <w:p>
      <w:pPr>
        <w:jc w:val="both"/>
        <w:ind w:left="1300" w:hanging="320"/>
        <w:spacing w:after="0" w:line="257" w:lineRule="auto"/>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association, or any provision of or governing the securities on deposit, or by reason of any act of God or war or other circumstances beyond our control.</w:t>
      </w:r>
    </w:p>
    <w:p>
      <w:pPr>
        <w:spacing w:after="0" w:line="187"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We and the depositary bank disclaim any liability by reason of any exercise of, or failure to exercise, any discretion provided for in the deposit agreement or in our articles of association or in any provisions of or governing the securities on deposit.</w:t>
      </w:r>
    </w:p>
    <w:p>
      <w:pPr>
        <w:spacing w:after="0" w:line="170" w:lineRule="exact"/>
        <w:rPr>
          <w:rFonts w:ascii="Arial" w:cs="Arial" w:eastAsia="Arial" w:hAnsi="Arial"/>
          <w:sz w:val="18"/>
          <w:szCs w:val="18"/>
          <w:color w:val="auto"/>
        </w:rPr>
      </w:pPr>
    </w:p>
    <w:p>
      <w:pPr>
        <w:jc w:val="both"/>
        <w:ind w:left="1300" w:hanging="320"/>
        <w:spacing w:after="0" w:line="286" w:lineRule="auto"/>
        <w:tabs>
          <w:tab w:leader="none" w:pos="13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We and the depositary bank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165" w:lineRule="exact"/>
        <w:rPr>
          <w:rFonts w:ascii="Arial" w:cs="Arial" w:eastAsia="Arial" w:hAnsi="Arial"/>
          <w:sz w:val="17"/>
          <w:szCs w:val="17"/>
          <w:color w:val="auto"/>
        </w:rPr>
      </w:pPr>
    </w:p>
    <w:p>
      <w:pPr>
        <w:ind w:left="1300" w:hanging="320"/>
        <w:spacing w:after="0" w:line="342" w:lineRule="auto"/>
        <w:tabs>
          <w:tab w:leader="none" w:pos="13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We and the depositary bank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123" w:lineRule="exact"/>
        <w:rPr>
          <w:rFonts w:ascii="Arial" w:cs="Arial" w:eastAsia="Arial" w:hAnsi="Arial"/>
          <w:sz w:val="16"/>
          <w:szCs w:val="16"/>
          <w:color w:val="auto"/>
        </w:rPr>
      </w:pPr>
    </w:p>
    <w:p>
      <w:pPr>
        <w:ind w:left="1300" w:hanging="320"/>
        <w:spacing w:after="0" w:line="277" w:lineRule="auto"/>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We and the depositary bank may rely without any liability upon any written notice, request or other document believed to be genuine and to have been signed or presented by the proper parties.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We and the depositary bank also disclaim liability for any consequential or punitive damages for any breach of the terms of the deposit agreement.</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 disclaimer of any Securities Act liability is intended by any provision of the deposit agreement.</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Nothing in the deposit agreement gives rise to a partnership or joint venture, or establishes a fiduciary relationship, among us, the depositary bank and you as ADS holder.</w:t>
      </w:r>
    </w:p>
    <w:p>
      <w:pPr>
        <w:spacing w:after="0" w:line="170"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247" w:lineRule="exact"/>
        <w:rPr>
          <w:sz w:val="20"/>
          <w:szCs w:val="20"/>
          <w:color w:val="auto"/>
        </w:rPr>
      </w:pPr>
    </w:p>
    <w:p>
      <w:pPr>
        <w:jc w:val="both"/>
        <w:ind w:firstLine="740"/>
        <w:spacing w:after="0" w:line="259" w:lineRule="auto"/>
        <w:rPr>
          <w:sz w:val="20"/>
          <w:szCs w:val="20"/>
          <w:color w:val="auto"/>
        </w:rPr>
      </w:pPr>
      <w:r>
        <w:rPr>
          <w:rFonts w:ascii="Arial" w:cs="Arial" w:eastAsia="Arial" w:hAnsi="Arial"/>
          <w:sz w:val="22"/>
          <w:szCs w:val="22"/>
          <w:color w:val="auto"/>
        </w:rPr>
        <w:t>As the above limitations relate to our obligations and the depositary bank’s obligations to you under the deposit agreement, we believe that, as a matter of construction of the clause, such limitations would likely to continue to apply to ADS holders who withdraw the ordinary shares from the ADS facility with respect to obligations or liabilities incurred under the deposit agreement before the cancellation of the ADSs and the withdrawal of the ordinary shares, and such limitations would most likely not apply to ADS holders who withdraw the ordinary shares from the ADS facility with respect to obligations or liabilities incurred after the cancellation of the ADSs and the withdrawal of the ordinary shares and not under the deposit agreement.</w:t>
      </w:r>
    </w:p>
    <w:p>
      <w:pPr>
        <w:spacing w:after="0" w:line="24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In any event, you will not be deemed, by agreeing to the terms of the deposit agreement, to have waived our or the depositary bank’s compliance with U.S. federal securities laws and the rules and regulations promulgated thereunder. In fact, you cannot waive our or the depositary bank’s compliance with U.S. federal securities laws and the rules and regulations promulgated thereunder.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863" w:gutter="0" w:footer="0" w:header="0"/>
        </w:sectPr>
      </w:pPr>
    </w:p>
    <w:bookmarkStart w:id="188" w:name="page189"/>
    <w:bookmarkEnd w:id="188"/>
    <w:p>
      <w:pPr>
        <w:spacing w:after="0"/>
        <w:rPr>
          <w:sz w:val="20"/>
          <w:szCs w:val="20"/>
          <w:color w:val="auto"/>
        </w:rPr>
      </w:pPr>
      <w:r>
        <w:rPr>
          <w:rFonts w:ascii="Arial" w:cs="Arial" w:eastAsia="Arial" w:hAnsi="Arial"/>
          <w:sz w:val="22"/>
          <w:szCs w:val="22"/>
          <w:b w:val="1"/>
          <w:bCs w:val="1"/>
          <w:color w:val="auto"/>
        </w:rPr>
        <w:t>Taxes</w:t>
      </w:r>
    </w:p>
    <w:p>
      <w:pPr>
        <w:spacing w:after="0" w:line="29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You will be responsible for the taxes and other governmental charges payable on the ADSs and the securities represented by the ADSs. We, the depositary bank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9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 distributions on your behalf. However, you may be required to provide to the depositary bank and to the custodian proof of taxpayer status and residence and such other information as the depositary bank and the custodian may require to fulfill legal obligations. You are required to indemnify us, the depositary bank and the custodian for any claims with respect to taxes based on any tax benefit obtained for you.</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Conversion</w:t>
      </w:r>
    </w:p>
    <w:p>
      <w:pPr>
        <w:spacing w:after="0" w:line="2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The depositary bank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245" w:lineRule="exact"/>
        <w:rPr>
          <w:sz w:val="20"/>
          <w:szCs w:val="20"/>
          <w:color w:val="auto"/>
        </w:rPr>
      </w:pPr>
    </w:p>
    <w:p>
      <w:pPr>
        <w:jc w:val="both"/>
        <w:ind w:right="20" w:firstLine="648"/>
        <w:spacing w:after="0" w:line="358" w:lineRule="auto"/>
        <w:rPr>
          <w:sz w:val="20"/>
          <w:szCs w:val="20"/>
          <w:color w:val="auto"/>
        </w:rPr>
      </w:pPr>
      <w:r>
        <w:rPr>
          <w:rFonts w:ascii="Arial" w:cs="Arial" w:eastAsia="Arial" w:hAnsi="Arial"/>
          <w:sz w:val="19"/>
          <w:szCs w:val="19"/>
          <w:color w:val="auto"/>
        </w:rPr>
        <w:t>If the conversion of foreign currency is not practical or lawful, or if any required approvals are denied or not obtainable at a reasonable cost or within a reasonable period, the depositary bank may take the following actions in its discretion:</w:t>
      </w:r>
    </w:p>
    <w:p>
      <w:pPr>
        <w:spacing w:after="0" w:line="152" w:lineRule="exact"/>
        <w:rPr>
          <w:sz w:val="20"/>
          <w:szCs w:val="20"/>
          <w:color w:val="auto"/>
        </w:rPr>
      </w:pPr>
    </w:p>
    <w:p>
      <w:pPr>
        <w:ind w:left="1300" w:hanging="320"/>
        <w:spacing w:after="0" w:line="277" w:lineRule="auto"/>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Distribute the foreign currency to holders for whom the distribution is lawful and practical.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Governing Law/Waiver of Jury Trial</w:t>
      </w:r>
    </w:p>
    <w:p>
      <w:pPr>
        <w:spacing w:after="0" w:line="2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auto"/>
        </w:rPr>
        <w:t>The deposit agreement, the ADRs and the ADSs will be interpreted in accordance with the laws of the State of New York. The rights of holders of ordinary shares (including ordinary shares represented by ADSs) are governed by the laws of the State of Israel.</w:t>
      </w:r>
    </w:p>
    <w:p>
      <w:pPr>
        <w:spacing w:after="0" w:line="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1"/>
          <w:szCs w:val="21"/>
          <w:color w:val="auto"/>
        </w:rPr>
        <w:t>As an owner of ADSs, you irrevocably agree that any legal action arising out of the Deposit Agreement, the ADSs or the ADRs, involving the Company or the depositary bank, may only be instituted in a state or federal court in the city of New York and actions by ADS holders to enforce any duty or liability created by the Exchange Act, the Securities Act or the respective rule and regulations thereunder must be brought in a federal court in the city of New York.</w:t>
      </w:r>
    </w:p>
    <w:p>
      <w:pPr>
        <w:spacing w:after="0" w:line="23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AS A PARTY TO THE DEPOSIT AGREEMENT, YOU IRREVOCABLY WAIVE, TO THE FULLEST EXTENT PERMITTED BY APPLICABLE LAW, YOUR RIGHT TO TRIAL BY JURY IN ANY LEGAL PROCEEDING ARISING OUT OF THE DEPOSIT AGREEMENT OR THE ADRs AGAINST US AND/OR THE DEPOSITARY BANK.</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The deposit agreement provides that, to the extent permitted by law, ADS holders waive the right to a jury trial of any claim they may have against us or the depositary bank arising out of or relating to our ordinary shares, the ADSs or the deposit agreement, including any claim under U.S. federal securities laws. If we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342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8.1</w:t>
      </w:r>
    </w:p>
    <w:p>
      <w:pPr>
        <w:spacing w:after="0" w:line="287"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LIST OF SUBSIDIARIES OF THE REGISTRANT</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sets out details of the Company’s significant subsidiaries: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company</w:t>
            </w:r>
          </w:p>
        </w:tc>
        <w:tc>
          <w:tcPr>
            <w:tcW w:w="380" w:type="dxa"/>
            <w:vAlign w:val="bottom"/>
          </w:tcPr>
          <w:p>
            <w:pPr>
              <w:spacing w:after="0"/>
              <w:rPr>
                <w:sz w:val="20"/>
                <w:szCs w:val="20"/>
                <w:color w:val="auto"/>
              </w:rPr>
            </w:pPr>
          </w:p>
        </w:tc>
        <w:tc>
          <w:tcPr>
            <w:tcW w:w="27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Country of Incorporation</w:t>
            </w:r>
          </w:p>
        </w:tc>
        <w:tc>
          <w:tcPr>
            <w:tcW w:w="38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Ownership Percentage</w:t>
            </w:r>
          </w:p>
        </w:tc>
        <w:tc>
          <w:tcPr>
            <w:tcW w:w="400" w:type="dxa"/>
            <w:vAlign w:val="bottom"/>
          </w:tcPr>
          <w:p>
            <w:pPr>
              <w:spacing w:after="0"/>
              <w:rPr>
                <w:sz w:val="20"/>
                <w:szCs w:val="20"/>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Taptica Inc.</w:t>
            </w:r>
          </w:p>
        </w:tc>
        <w:tc>
          <w:tcPr>
            <w:tcW w:w="3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38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4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Tremor Video Inc.</w:t>
            </w:r>
          </w:p>
        </w:tc>
        <w:tc>
          <w:tcPr>
            <w:tcW w:w="3120" w:type="dxa"/>
            <w:vAlign w:val="bottom"/>
            <w:gridSpan w:val="2"/>
          </w:tcPr>
          <w:p>
            <w:pPr>
              <w:ind w:left="380"/>
              <w:spacing w:after="0"/>
              <w:rPr>
                <w:sz w:val="20"/>
                <w:szCs w:val="20"/>
                <w:color w:val="auto"/>
              </w:rPr>
            </w:pPr>
            <w:r>
              <w:rPr>
                <w:rFonts w:ascii="Arial" w:cs="Arial" w:eastAsia="Arial" w:hAnsi="Arial"/>
                <w:sz w:val="18"/>
                <w:szCs w:val="18"/>
                <w:color w:val="auto"/>
              </w:rPr>
              <w:t>USA</w:t>
            </w:r>
          </w:p>
        </w:tc>
        <w:tc>
          <w:tcPr>
            <w:tcW w:w="240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100%</w:t>
            </w:r>
          </w:p>
        </w:tc>
        <w:tc>
          <w:tcPr>
            <w:tcW w:w="4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Adinnovation Inc.</w:t>
            </w:r>
          </w:p>
        </w:tc>
        <w:tc>
          <w:tcPr>
            <w:tcW w:w="3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Japan</w:t>
            </w:r>
          </w:p>
        </w:tc>
        <w:tc>
          <w:tcPr>
            <w:tcW w:w="240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1"/>
              </w:rPr>
              <w:t>100%</w:t>
            </w:r>
          </w:p>
        </w:tc>
        <w:tc>
          <w:tcPr>
            <w:tcW w:w="4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Taptica UK</w:t>
            </w:r>
          </w:p>
        </w:tc>
        <w:tc>
          <w:tcPr>
            <w:tcW w:w="3120" w:type="dxa"/>
            <w:vAlign w:val="bottom"/>
            <w:gridSpan w:val="2"/>
          </w:tcPr>
          <w:p>
            <w:pPr>
              <w:ind w:left="380"/>
              <w:spacing w:after="0"/>
              <w:rPr>
                <w:sz w:val="20"/>
                <w:szCs w:val="20"/>
                <w:color w:val="auto"/>
              </w:rPr>
            </w:pPr>
            <w:r>
              <w:rPr>
                <w:rFonts w:ascii="Arial" w:cs="Arial" w:eastAsia="Arial" w:hAnsi="Arial"/>
                <w:sz w:val="18"/>
                <w:szCs w:val="18"/>
                <w:color w:val="auto"/>
              </w:rPr>
              <w:t>United Kingdom</w:t>
            </w:r>
          </w:p>
        </w:tc>
        <w:tc>
          <w:tcPr>
            <w:tcW w:w="240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100%</w:t>
            </w:r>
          </w:p>
        </w:tc>
        <w:tc>
          <w:tcPr>
            <w:tcW w:w="4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Unruly Group US Holding Inc.</w:t>
            </w:r>
          </w:p>
        </w:tc>
        <w:tc>
          <w:tcPr>
            <w:tcW w:w="3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USA</w:t>
            </w:r>
          </w:p>
        </w:tc>
        <w:tc>
          <w:tcPr>
            <w:tcW w:w="240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1"/>
              </w:rPr>
              <w:t>100%</w:t>
            </w:r>
          </w:p>
        </w:tc>
        <w:tc>
          <w:tcPr>
            <w:tcW w:w="4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YuMe Inc. *</w:t>
            </w:r>
          </w:p>
        </w:tc>
        <w:tc>
          <w:tcPr>
            <w:tcW w:w="3120" w:type="dxa"/>
            <w:vAlign w:val="bottom"/>
            <w:gridSpan w:val="2"/>
          </w:tcPr>
          <w:p>
            <w:pPr>
              <w:ind w:left="380"/>
              <w:spacing w:after="0"/>
              <w:rPr>
                <w:sz w:val="20"/>
                <w:szCs w:val="20"/>
                <w:color w:val="auto"/>
              </w:rPr>
            </w:pPr>
            <w:r>
              <w:rPr>
                <w:rFonts w:ascii="Arial" w:cs="Arial" w:eastAsia="Arial" w:hAnsi="Arial"/>
                <w:sz w:val="18"/>
                <w:szCs w:val="18"/>
                <w:color w:val="auto"/>
              </w:rPr>
              <w:t>USA</w:t>
            </w:r>
          </w:p>
        </w:tc>
        <w:tc>
          <w:tcPr>
            <w:tcW w:w="240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100%</w:t>
            </w:r>
          </w:p>
        </w:tc>
        <w:tc>
          <w:tcPr>
            <w:tcW w:w="4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Perk.com US Inc *</w:t>
            </w:r>
          </w:p>
        </w:tc>
        <w:tc>
          <w:tcPr>
            <w:tcW w:w="3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USA</w:t>
            </w:r>
          </w:p>
        </w:tc>
        <w:tc>
          <w:tcPr>
            <w:tcW w:w="240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1"/>
              </w:rPr>
              <w:t>100%</w:t>
            </w:r>
          </w:p>
        </w:tc>
        <w:tc>
          <w:tcPr>
            <w:tcW w:w="4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R1Demand LLC *</w:t>
            </w:r>
          </w:p>
        </w:tc>
        <w:tc>
          <w:tcPr>
            <w:tcW w:w="3120" w:type="dxa"/>
            <w:vAlign w:val="bottom"/>
            <w:gridSpan w:val="2"/>
          </w:tcPr>
          <w:p>
            <w:pPr>
              <w:ind w:left="380"/>
              <w:spacing w:after="0"/>
              <w:rPr>
                <w:sz w:val="20"/>
                <w:szCs w:val="20"/>
                <w:color w:val="auto"/>
              </w:rPr>
            </w:pPr>
            <w:r>
              <w:rPr>
                <w:rFonts w:ascii="Arial" w:cs="Arial" w:eastAsia="Arial" w:hAnsi="Arial"/>
                <w:sz w:val="18"/>
                <w:szCs w:val="18"/>
                <w:color w:val="auto"/>
              </w:rPr>
              <w:t>USA</w:t>
            </w:r>
          </w:p>
        </w:tc>
        <w:tc>
          <w:tcPr>
            <w:tcW w:w="240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100%</w:t>
            </w:r>
          </w:p>
        </w:tc>
        <w:tc>
          <w:tcPr>
            <w:tcW w:w="4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Unruly Group LLC</w:t>
            </w:r>
          </w:p>
        </w:tc>
        <w:tc>
          <w:tcPr>
            <w:tcW w:w="3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USA</w:t>
            </w:r>
          </w:p>
        </w:tc>
        <w:tc>
          <w:tcPr>
            <w:tcW w:w="240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1"/>
              </w:rPr>
              <w:t>100%</w:t>
            </w:r>
          </w:p>
        </w:tc>
        <w:tc>
          <w:tcPr>
            <w:tcW w:w="4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Unruly Holdings Ltd.*</w:t>
            </w:r>
          </w:p>
        </w:tc>
        <w:tc>
          <w:tcPr>
            <w:tcW w:w="3120" w:type="dxa"/>
            <w:vAlign w:val="bottom"/>
            <w:gridSpan w:val="2"/>
          </w:tcPr>
          <w:p>
            <w:pPr>
              <w:ind w:left="380"/>
              <w:spacing w:after="0"/>
              <w:rPr>
                <w:sz w:val="20"/>
                <w:szCs w:val="20"/>
                <w:color w:val="auto"/>
              </w:rPr>
            </w:pPr>
            <w:r>
              <w:rPr>
                <w:rFonts w:ascii="Arial" w:cs="Arial" w:eastAsia="Arial" w:hAnsi="Arial"/>
                <w:sz w:val="18"/>
                <w:szCs w:val="18"/>
                <w:color w:val="auto"/>
              </w:rPr>
              <w:t>UK</w:t>
            </w:r>
          </w:p>
        </w:tc>
        <w:tc>
          <w:tcPr>
            <w:tcW w:w="240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100%</w:t>
            </w:r>
          </w:p>
        </w:tc>
        <w:tc>
          <w:tcPr>
            <w:tcW w:w="4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Unruly Group Ltd.</w:t>
            </w:r>
          </w:p>
        </w:tc>
        <w:tc>
          <w:tcPr>
            <w:tcW w:w="3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UK</w:t>
            </w:r>
          </w:p>
        </w:tc>
        <w:tc>
          <w:tcPr>
            <w:tcW w:w="240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1"/>
              </w:rPr>
              <w:t>100%</w:t>
            </w:r>
          </w:p>
        </w:tc>
        <w:tc>
          <w:tcPr>
            <w:tcW w:w="4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Unruly Media GmbH</w:t>
            </w:r>
          </w:p>
        </w:tc>
        <w:tc>
          <w:tcPr>
            <w:tcW w:w="3120" w:type="dxa"/>
            <w:vAlign w:val="bottom"/>
            <w:gridSpan w:val="2"/>
          </w:tcPr>
          <w:p>
            <w:pPr>
              <w:ind w:left="380"/>
              <w:spacing w:after="0"/>
              <w:rPr>
                <w:sz w:val="20"/>
                <w:szCs w:val="20"/>
                <w:color w:val="auto"/>
              </w:rPr>
            </w:pPr>
            <w:r>
              <w:rPr>
                <w:rFonts w:ascii="Arial" w:cs="Arial" w:eastAsia="Arial" w:hAnsi="Arial"/>
                <w:sz w:val="18"/>
                <w:szCs w:val="18"/>
                <w:color w:val="auto"/>
              </w:rPr>
              <w:t>Germany</w:t>
            </w:r>
          </w:p>
        </w:tc>
        <w:tc>
          <w:tcPr>
            <w:tcW w:w="240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100%</w:t>
            </w:r>
          </w:p>
        </w:tc>
        <w:tc>
          <w:tcPr>
            <w:tcW w:w="4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Unruly Media Pte Ltd.*</w:t>
            </w:r>
          </w:p>
        </w:tc>
        <w:tc>
          <w:tcPr>
            <w:tcW w:w="3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Singapore</w:t>
            </w:r>
          </w:p>
        </w:tc>
        <w:tc>
          <w:tcPr>
            <w:tcW w:w="240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1"/>
              </w:rPr>
              <w:t>100%</w:t>
            </w:r>
          </w:p>
        </w:tc>
        <w:tc>
          <w:tcPr>
            <w:tcW w:w="4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Unruly Media Pty Ltd.</w:t>
            </w:r>
          </w:p>
        </w:tc>
        <w:tc>
          <w:tcPr>
            <w:tcW w:w="3120" w:type="dxa"/>
            <w:vAlign w:val="bottom"/>
            <w:gridSpan w:val="2"/>
          </w:tcPr>
          <w:p>
            <w:pPr>
              <w:ind w:left="380"/>
              <w:spacing w:after="0"/>
              <w:rPr>
                <w:sz w:val="20"/>
                <w:szCs w:val="20"/>
                <w:color w:val="auto"/>
              </w:rPr>
            </w:pPr>
            <w:r>
              <w:rPr>
                <w:rFonts w:ascii="Arial" w:cs="Arial" w:eastAsia="Arial" w:hAnsi="Arial"/>
                <w:sz w:val="18"/>
                <w:szCs w:val="18"/>
                <w:color w:val="auto"/>
              </w:rPr>
              <w:t>Australia</w:t>
            </w:r>
          </w:p>
        </w:tc>
        <w:tc>
          <w:tcPr>
            <w:tcW w:w="240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100%</w:t>
            </w:r>
          </w:p>
        </w:tc>
        <w:tc>
          <w:tcPr>
            <w:tcW w:w="4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Unruly Media KK</w:t>
            </w:r>
          </w:p>
        </w:tc>
        <w:tc>
          <w:tcPr>
            <w:tcW w:w="3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Japan</w:t>
            </w:r>
          </w:p>
        </w:tc>
        <w:tc>
          <w:tcPr>
            <w:tcW w:w="240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1"/>
              </w:rPr>
              <w:t>100%</w:t>
            </w:r>
          </w:p>
        </w:tc>
        <w:tc>
          <w:tcPr>
            <w:tcW w:w="4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SpearAd GmbH</w:t>
            </w:r>
          </w:p>
        </w:tc>
        <w:tc>
          <w:tcPr>
            <w:tcW w:w="3120" w:type="dxa"/>
            <w:vAlign w:val="bottom"/>
            <w:gridSpan w:val="2"/>
          </w:tcPr>
          <w:p>
            <w:pPr>
              <w:ind w:left="380"/>
              <w:spacing w:after="0"/>
              <w:rPr>
                <w:sz w:val="20"/>
                <w:szCs w:val="20"/>
                <w:color w:val="auto"/>
              </w:rPr>
            </w:pPr>
            <w:r>
              <w:rPr>
                <w:rFonts w:ascii="Arial" w:cs="Arial" w:eastAsia="Arial" w:hAnsi="Arial"/>
                <w:sz w:val="18"/>
                <w:szCs w:val="18"/>
                <w:color w:val="auto"/>
              </w:rPr>
              <w:t>Germany</w:t>
            </w:r>
          </w:p>
        </w:tc>
        <w:tc>
          <w:tcPr>
            <w:tcW w:w="240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100%</w:t>
            </w:r>
          </w:p>
        </w:tc>
        <w:tc>
          <w:tcPr>
            <w:tcW w:w="4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Unmedia Video Distribution Sdn Bhd</w:t>
            </w:r>
          </w:p>
        </w:tc>
        <w:tc>
          <w:tcPr>
            <w:tcW w:w="3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Malaysia</w:t>
            </w:r>
          </w:p>
        </w:tc>
        <w:tc>
          <w:tcPr>
            <w:tcW w:w="240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1"/>
              </w:rPr>
              <w:t>100%</w:t>
            </w:r>
          </w:p>
        </w:tc>
        <w:tc>
          <w:tcPr>
            <w:tcW w:w="400" w:type="dxa"/>
            <w:vAlign w:val="bottom"/>
            <w:shd w:val="clear" w:color="auto" w:fill="CCEEFF"/>
          </w:tcPr>
          <w:p>
            <w:pPr>
              <w:spacing w:after="0"/>
              <w:rPr>
                <w:sz w:val="18"/>
                <w:szCs w:val="18"/>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Under these companies, there are twenty-nine (29) wholly owned subsidiaries that are inactive and/or in liquidation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12.1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I, Ofer Druker, certify that:</w:t>
      </w:r>
    </w:p>
    <w:p>
      <w:pPr>
        <w:spacing w:after="0" w:line="281" w:lineRule="exact"/>
        <w:rPr>
          <w:sz w:val="20"/>
          <w:szCs w:val="20"/>
          <w:color w:val="auto"/>
        </w:rPr>
      </w:pPr>
    </w:p>
    <w:p>
      <w:pPr>
        <w:ind w:left="500" w:hanging="492"/>
        <w:spacing w:after="0"/>
        <w:tabs>
          <w:tab w:leader="none" w:pos="5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Tremor International Ltd.;</w:t>
      </w:r>
    </w:p>
    <w:p>
      <w:pPr>
        <w:spacing w:after="0" w:line="279"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7"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00" w:lineRule="exact"/>
        <w:rPr>
          <w:rFonts w:ascii="Arial" w:cs="Arial" w:eastAsia="Arial" w:hAnsi="Arial"/>
          <w:sz w:val="17"/>
          <w:szCs w:val="17"/>
          <w:color w:val="auto"/>
        </w:rPr>
      </w:pPr>
    </w:p>
    <w:p>
      <w:pPr>
        <w:ind w:left="500" w:right="500" w:hanging="492"/>
        <w:spacing w:after="0" w:line="277" w:lineRule="auto"/>
        <w:tabs>
          <w:tab w:leader="none" w:pos="5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224" w:lineRule="exact"/>
        <w:rPr>
          <w:rFonts w:ascii="Arial" w:cs="Arial" w:eastAsia="Arial" w:hAnsi="Arial"/>
          <w:sz w:val="18"/>
          <w:szCs w:val="18"/>
          <w:color w:val="auto"/>
        </w:rPr>
      </w:pPr>
    </w:p>
    <w:p>
      <w:pPr>
        <w:jc w:val="both"/>
        <w:ind w:left="980" w:hanging="432"/>
        <w:spacing w:after="0" w:line="263" w:lineRule="auto"/>
        <w:tabs>
          <w:tab w:leader="none" w:pos="9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37" w:lineRule="exact"/>
        <w:rPr>
          <w:rFonts w:ascii="Arial" w:cs="Arial" w:eastAsia="Arial" w:hAnsi="Arial"/>
          <w:sz w:val="18"/>
          <w:szCs w:val="18"/>
          <w:color w:val="auto"/>
        </w:rPr>
      </w:pPr>
    </w:p>
    <w:p>
      <w:pPr>
        <w:ind w:left="980" w:hanging="432"/>
        <w:spacing w:after="0"/>
        <w:tabs>
          <w:tab w:leader="none" w:pos="9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79" w:lineRule="exact"/>
        <w:rPr>
          <w:rFonts w:ascii="Arial" w:cs="Arial" w:eastAsia="Arial" w:hAnsi="Arial"/>
          <w:sz w:val="18"/>
          <w:szCs w:val="18"/>
          <w:color w:val="auto"/>
        </w:rPr>
      </w:pPr>
    </w:p>
    <w:p>
      <w:pPr>
        <w:ind w:left="980" w:right="20" w:hanging="432"/>
        <w:spacing w:after="0" w:line="342" w:lineRule="auto"/>
        <w:tabs>
          <w:tab w:leader="none" w:pos="98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jc w:val="both"/>
        <w:ind w:left="980" w:hanging="432"/>
        <w:spacing w:after="0" w:line="263" w:lineRule="auto"/>
        <w:tabs>
          <w:tab w:leader="none" w:pos="9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37"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00" w:lineRule="exact"/>
        <w:rPr>
          <w:rFonts w:ascii="Arial" w:cs="Arial" w:eastAsia="Arial" w:hAnsi="Arial"/>
          <w:sz w:val="17"/>
          <w:szCs w:val="17"/>
          <w:color w:val="auto"/>
        </w:rPr>
      </w:pPr>
    </w:p>
    <w:p>
      <w:pPr>
        <w:ind w:left="980" w:hanging="432"/>
        <w:spacing w:after="0" w:line="308" w:lineRule="auto"/>
        <w:tabs>
          <w:tab w:leader="none" w:pos="98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00" w:lineRule="exact"/>
        <w:rPr>
          <w:rFonts w:ascii="Arial" w:cs="Arial" w:eastAsia="Arial" w:hAnsi="Arial"/>
          <w:sz w:val="17"/>
          <w:szCs w:val="17"/>
          <w:color w:val="auto"/>
        </w:rPr>
      </w:pPr>
    </w:p>
    <w:p>
      <w:pPr>
        <w:ind w:left="980" w:hanging="432"/>
        <w:spacing w:after="0" w:line="277" w:lineRule="auto"/>
        <w:tabs>
          <w:tab w:leader="none" w:pos="9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20"/>
                <w:szCs w:val="20"/>
                <w:color w:val="auto"/>
              </w:rPr>
            </w:pPr>
            <w:r>
              <w:rPr>
                <w:rFonts w:ascii="Arial" w:cs="Arial" w:eastAsia="Arial" w:hAnsi="Arial"/>
                <w:sz w:val="18"/>
                <w:szCs w:val="18"/>
                <w:color w:val="auto"/>
              </w:rPr>
              <w:t>Date: March 15, 2022</w:t>
            </w:r>
          </w:p>
        </w:tc>
        <w:tc>
          <w:tcPr>
            <w:tcW w:w="7620" w:type="dxa"/>
            <w:vAlign w:val="bottom"/>
            <w:gridSpan w:val="3"/>
          </w:tcPr>
          <w:p>
            <w:pPr>
              <w:ind w:left="2020"/>
              <w:spacing w:after="0"/>
              <w:rPr>
                <w:sz w:val="20"/>
                <w:szCs w:val="20"/>
                <w:color w:val="auto"/>
              </w:rPr>
            </w:pPr>
            <w:r>
              <w:rPr>
                <w:rFonts w:ascii="Arial" w:cs="Arial" w:eastAsia="Arial" w:hAnsi="Arial"/>
                <w:sz w:val="18"/>
                <w:szCs w:val="18"/>
                <w:color w:val="auto"/>
              </w:rPr>
              <w:t>By: /s/ Ofer Druker</w:t>
            </w:r>
          </w:p>
        </w:tc>
      </w:tr>
      <w:tr>
        <w:trPr>
          <w:trHeight w:val="222"/>
        </w:trPr>
        <w:tc>
          <w:tcPr>
            <w:tcW w:w="36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Ofer Druker</w:t>
            </w:r>
          </w:p>
        </w:tc>
        <w:tc>
          <w:tcPr>
            <w:tcW w:w="418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378"/>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r>
        <w:trPr>
          <w:trHeight w:val="163"/>
        </w:trPr>
        <w:tc>
          <w:tcPr>
            <w:tcW w:w="36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18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706"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12.2</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I, Sagi Niri, certify that:</w:t>
      </w:r>
    </w:p>
    <w:p>
      <w:pPr>
        <w:spacing w:after="0" w:line="281" w:lineRule="exact"/>
        <w:rPr>
          <w:sz w:val="20"/>
          <w:szCs w:val="20"/>
          <w:color w:val="auto"/>
        </w:rPr>
      </w:pPr>
    </w:p>
    <w:p>
      <w:pPr>
        <w:ind w:left="500" w:hanging="492"/>
        <w:spacing w:after="0"/>
        <w:tabs>
          <w:tab w:leader="none" w:pos="5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Tremor International Ltd.;</w:t>
      </w:r>
    </w:p>
    <w:p>
      <w:pPr>
        <w:spacing w:after="0" w:line="279"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7"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00" w:lineRule="exact"/>
        <w:rPr>
          <w:rFonts w:ascii="Arial" w:cs="Arial" w:eastAsia="Arial" w:hAnsi="Arial"/>
          <w:sz w:val="17"/>
          <w:szCs w:val="17"/>
          <w:color w:val="auto"/>
        </w:rPr>
      </w:pPr>
    </w:p>
    <w:p>
      <w:pPr>
        <w:ind w:left="500" w:right="500" w:hanging="492"/>
        <w:spacing w:after="0" w:line="277" w:lineRule="auto"/>
        <w:tabs>
          <w:tab w:leader="none" w:pos="5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224" w:lineRule="exact"/>
        <w:rPr>
          <w:rFonts w:ascii="Arial" w:cs="Arial" w:eastAsia="Arial" w:hAnsi="Arial"/>
          <w:sz w:val="18"/>
          <w:szCs w:val="18"/>
          <w:color w:val="auto"/>
        </w:rPr>
      </w:pPr>
    </w:p>
    <w:p>
      <w:pPr>
        <w:jc w:val="both"/>
        <w:ind w:left="980" w:hanging="432"/>
        <w:spacing w:after="0" w:line="263" w:lineRule="auto"/>
        <w:tabs>
          <w:tab w:leader="none" w:pos="9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37" w:lineRule="exact"/>
        <w:rPr>
          <w:rFonts w:ascii="Arial" w:cs="Arial" w:eastAsia="Arial" w:hAnsi="Arial"/>
          <w:sz w:val="18"/>
          <w:szCs w:val="18"/>
          <w:color w:val="auto"/>
        </w:rPr>
      </w:pPr>
    </w:p>
    <w:p>
      <w:pPr>
        <w:ind w:left="980" w:hanging="432"/>
        <w:spacing w:after="0"/>
        <w:tabs>
          <w:tab w:leader="none" w:pos="9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79" w:lineRule="exact"/>
        <w:rPr>
          <w:rFonts w:ascii="Arial" w:cs="Arial" w:eastAsia="Arial" w:hAnsi="Arial"/>
          <w:sz w:val="18"/>
          <w:szCs w:val="18"/>
          <w:color w:val="auto"/>
        </w:rPr>
      </w:pPr>
    </w:p>
    <w:p>
      <w:pPr>
        <w:ind w:left="980" w:right="20" w:hanging="432"/>
        <w:spacing w:after="0" w:line="342" w:lineRule="auto"/>
        <w:tabs>
          <w:tab w:leader="none" w:pos="98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jc w:val="both"/>
        <w:ind w:left="980" w:hanging="432"/>
        <w:spacing w:after="0" w:line="263" w:lineRule="auto"/>
        <w:tabs>
          <w:tab w:leader="none" w:pos="9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37"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00" w:lineRule="exact"/>
        <w:rPr>
          <w:rFonts w:ascii="Arial" w:cs="Arial" w:eastAsia="Arial" w:hAnsi="Arial"/>
          <w:sz w:val="17"/>
          <w:szCs w:val="17"/>
          <w:color w:val="auto"/>
        </w:rPr>
      </w:pPr>
    </w:p>
    <w:p>
      <w:pPr>
        <w:ind w:left="980" w:hanging="432"/>
        <w:spacing w:after="0" w:line="308" w:lineRule="auto"/>
        <w:tabs>
          <w:tab w:leader="none" w:pos="98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00" w:lineRule="exact"/>
        <w:rPr>
          <w:rFonts w:ascii="Arial" w:cs="Arial" w:eastAsia="Arial" w:hAnsi="Arial"/>
          <w:sz w:val="17"/>
          <w:szCs w:val="17"/>
          <w:color w:val="auto"/>
        </w:rPr>
      </w:pPr>
    </w:p>
    <w:p>
      <w:pPr>
        <w:ind w:left="980" w:hanging="432"/>
        <w:spacing w:after="0" w:line="277" w:lineRule="auto"/>
        <w:tabs>
          <w:tab w:leader="none" w:pos="9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20"/>
                <w:szCs w:val="20"/>
                <w:color w:val="auto"/>
              </w:rPr>
            </w:pPr>
            <w:r>
              <w:rPr>
                <w:rFonts w:ascii="Arial" w:cs="Arial" w:eastAsia="Arial" w:hAnsi="Arial"/>
                <w:sz w:val="18"/>
                <w:szCs w:val="18"/>
                <w:color w:val="auto"/>
              </w:rPr>
              <w:t>Date: March 15, 2022</w:t>
            </w:r>
          </w:p>
        </w:tc>
        <w:tc>
          <w:tcPr>
            <w:tcW w:w="7620" w:type="dxa"/>
            <w:vAlign w:val="bottom"/>
            <w:gridSpan w:val="3"/>
          </w:tcPr>
          <w:p>
            <w:pPr>
              <w:ind w:left="2020"/>
              <w:spacing w:after="0"/>
              <w:rPr>
                <w:sz w:val="20"/>
                <w:szCs w:val="20"/>
                <w:color w:val="auto"/>
              </w:rPr>
            </w:pPr>
            <w:r>
              <w:rPr>
                <w:rFonts w:ascii="Arial" w:cs="Arial" w:eastAsia="Arial" w:hAnsi="Arial"/>
                <w:sz w:val="18"/>
                <w:szCs w:val="18"/>
                <w:color w:val="auto"/>
              </w:rPr>
              <w:t>By: /s/ Sagi Niri</w:t>
            </w:r>
          </w:p>
        </w:tc>
      </w:tr>
      <w:tr>
        <w:trPr>
          <w:trHeight w:val="222"/>
        </w:trPr>
        <w:tc>
          <w:tcPr>
            <w:tcW w:w="36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Sagi Niri</w:t>
            </w:r>
          </w:p>
        </w:tc>
        <w:tc>
          <w:tcPr>
            <w:tcW w:w="440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378"/>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r>
        <w:trPr>
          <w:trHeight w:val="163"/>
        </w:trPr>
        <w:tc>
          <w:tcPr>
            <w:tcW w:w="36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40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706" w:right="339" w:bottom="1440" w:gutter="0" w:footer="0" w:header="0"/>
        </w:sectPr>
      </w:pPr>
    </w:p>
    <w:bookmarkStart w:id="192" w:name="page193"/>
    <w:bookmarkEnd w:id="192"/>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13.1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18 U.S.C. SECTION 1350, AS ADOPTED PURSUANT TO</w:t>
      </w:r>
    </w:p>
    <w:p>
      <w:pPr>
        <w:spacing w:after="0" w:line="17" w:lineRule="exact"/>
        <w:rPr>
          <w:sz w:val="20"/>
          <w:szCs w:val="20"/>
          <w:color w:val="auto"/>
        </w:rPr>
      </w:pPr>
    </w:p>
    <w:p>
      <w:pPr>
        <w:ind w:left="282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83" w:lineRule="exact"/>
        <w:rPr>
          <w:sz w:val="20"/>
          <w:szCs w:val="20"/>
          <w:color w:val="auto"/>
        </w:rPr>
      </w:pPr>
    </w:p>
    <w:p>
      <w:pPr>
        <w:ind w:right="220" w:firstLine="648"/>
        <w:spacing w:after="0" w:line="262" w:lineRule="auto"/>
        <w:rPr>
          <w:sz w:val="20"/>
          <w:szCs w:val="20"/>
          <w:color w:val="auto"/>
        </w:rPr>
      </w:pPr>
      <w:r>
        <w:rPr>
          <w:rFonts w:ascii="Arial" w:cs="Arial" w:eastAsia="Arial" w:hAnsi="Arial"/>
          <w:sz w:val="22"/>
          <w:szCs w:val="22"/>
          <w:color w:val="auto"/>
        </w:rPr>
        <w:t>The certification set forth below is being submitted in connection with the Annual Report on Form 20-F of Tremor International Ltd. for the year ended December 31, 2021 (the “Report”) for the purpose of complying with Rule 13a-14(b) or Rule 15d-14(b) of the Securities Exchange Act of 1934 (the “Exchange Act”) and Section 1350 of Chapter 63 of Title 18 of the United States Code.</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 Ofer Druker, Chief Executive Officer, certify that to the best of my knowledge:</w:t>
      </w:r>
    </w:p>
    <w:p>
      <w:pPr>
        <w:spacing w:after="0" w:line="281" w:lineRule="exact"/>
        <w:rPr>
          <w:sz w:val="20"/>
          <w:szCs w:val="20"/>
          <w:color w:val="auto"/>
        </w:rPr>
      </w:pPr>
    </w:p>
    <w:p>
      <w:pPr>
        <w:ind w:left="1880" w:hanging="941"/>
        <w:spacing w:after="0"/>
        <w:tabs>
          <w:tab w:leader="none" w:pos="1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79" w:lineRule="exact"/>
        <w:rPr>
          <w:rFonts w:ascii="Arial" w:cs="Arial" w:eastAsia="Arial" w:hAnsi="Arial"/>
          <w:sz w:val="18"/>
          <w:szCs w:val="18"/>
          <w:color w:val="auto"/>
        </w:rPr>
      </w:pPr>
    </w:p>
    <w:p>
      <w:pPr>
        <w:ind w:left="1880" w:right="160" w:hanging="941"/>
        <w:spacing w:after="0" w:line="277" w:lineRule="auto"/>
        <w:tabs>
          <w:tab w:leader="none" w:pos="1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20"/>
                <w:szCs w:val="20"/>
                <w:color w:val="auto"/>
              </w:rPr>
            </w:pPr>
            <w:r>
              <w:rPr>
                <w:rFonts w:ascii="Arial" w:cs="Arial" w:eastAsia="Arial" w:hAnsi="Arial"/>
                <w:sz w:val="18"/>
                <w:szCs w:val="18"/>
                <w:color w:val="auto"/>
              </w:rPr>
              <w:t>Date: March 15, 2022</w:t>
            </w:r>
          </w:p>
        </w:tc>
        <w:tc>
          <w:tcPr>
            <w:tcW w:w="7620" w:type="dxa"/>
            <w:vAlign w:val="bottom"/>
            <w:gridSpan w:val="3"/>
          </w:tcPr>
          <w:p>
            <w:pPr>
              <w:ind w:left="2020"/>
              <w:spacing w:after="0"/>
              <w:rPr>
                <w:sz w:val="20"/>
                <w:szCs w:val="20"/>
                <w:color w:val="auto"/>
              </w:rPr>
            </w:pPr>
            <w:r>
              <w:rPr>
                <w:rFonts w:ascii="Arial" w:cs="Arial" w:eastAsia="Arial" w:hAnsi="Arial"/>
                <w:sz w:val="18"/>
                <w:szCs w:val="18"/>
                <w:color w:val="auto"/>
              </w:rPr>
              <w:t>By: /s/ Ofer Druker</w:t>
            </w:r>
          </w:p>
        </w:tc>
      </w:tr>
      <w:tr>
        <w:trPr>
          <w:trHeight w:val="222"/>
        </w:trPr>
        <w:tc>
          <w:tcPr>
            <w:tcW w:w="36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Ofer Druker</w:t>
            </w:r>
          </w:p>
        </w:tc>
        <w:tc>
          <w:tcPr>
            <w:tcW w:w="418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378"/>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r>
        <w:trPr>
          <w:trHeight w:val="163"/>
        </w:trPr>
        <w:tc>
          <w:tcPr>
            <w:tcW w:w="36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18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706"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13.2</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18 U.S.C. SECTION 1350, AS ADOPTED PURSUANT TO</w:t>
      </w:r>
    </w:p>
    <w:p>
      <w:pPr>
        <w:spacing w:after="0" w:line="17" w:lineRule="exact"/>
        <w:rPr>
          <w:sz w:val="20"/>
          <w:szCs w:val="20"/>
          <w:color w:val="auto"/>
        </w:rPr>
      </w:pPr>
    </w:p>
    <w:p>
      <w:pPr>
        <w:ind w:left="282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83" w:lineRule="exact"/>
        <w:rPr>
          <w:sz w:val="20"/>
          <w:szCs w:val="20"/>
          <w:color w:val="auto"/>
        </w:rPr>
      </w:pPr>
    </w:p>
    <w:p>
      <w:pPr>
        <w:ind w:right="220" w:firstLine="648"/>
        <w:spacing w:after="0" w:line="262" w:lineRule="auto"/>
        <w:rPr>
          <w:sz w:val="20"/>
          <w:szCs w:val="20"/>
          <w:color w:val="auto"/>
        </w:rPr>
      </w:pPr>
      <w:r>
        <w:rPr>
          <w:rFonts w:ascii="Arial" w:cs="Arial" w:eastAsia="Arial" w:hAnsi="Arial"/>
          <w:sz w:val="22"/>
          <w:szCs w:val="22"/>
          <w:color w:val="auto"/>
        </w:rPr>
        <w:t>The certification set forth below is being submitted in connection with the Annual Report on Form 20-F of Tremor International Ltd. for the year ended December 31, 2021 (the “Report”) for the purpose of complying with Rule 13a-14(b) or Rule 15d-14(b) of the Securities Exchange Act of 1934 (the “Exchange Act”) and Section 1350 of Chapter 63 of Title 18 of the United States Code.</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 Sagi Niri, Chief Financial Officer, certify that to the best of my knowledge:</w:t>
      </w:r>
    </w:p>
    <w:p>
      <w:pPr>
        <w:spacing w:after="0" w:line="281" w:lineRule="exact"/>
        <w:rPr>
          <w:sz w:val="20"/>
          <w:szCs w:val="20"/>
          <w:color w:val="auto"/>
        </w:rPr>
      </w:pPr>
    </w:p>
    <w:p>
      <w:pPr>
        <w:ind w:left="1880" w:hanging="941"/>
        <w:spacing w:after="0"/>
        <w:tabs>
          <w:tab w:leader="none" w:pos="18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79" w:lineRule="exact"/>
        <w:rPr>
          <w:rFonts w:ascii="Arial" w:cs="Arial" w:eastAsia="Arial" w:hAnsi="Arial"/>
          <w:sz w:val="18"/>
          <w:szCs w:val="18"/>
          <w:color w:val="auto"/>
        </w:rPr>
      </w:pPr>
    </w:p>
    <w:p>
      <w:pPr>
        <w:ind w:left="1880" w:right="160" w:hanging="941"/>
        <w:spacing w:after="0" w:line="277" w:lineRule="auto"/>
        <w:tabs>
          <w:tab w:leader="none" w:pos="18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20"/>
                <w:szCs w:val="20"/>
                <w:color w:val="auto"/>
              </w:rPr>
            </w:pPr>
            <w:r>
              <w:rPr>
                <w:rFonts w:ascii="Arial" w:cs="Arial" w:eastAsia="Arial" w:hAnsi="Arial"/>
                <w:sz w:val="18"/>
                <w:szCs w:val="18"/>
                <w:color w:val="auto"/>
              </w:rPr>
              <w:t>Date: March 15, 2022</w:t>
            </w:r>
          </w:p>
        </w:tc>
        <w:tc>
          <w:tcPr>
            <w:tcW w:w="7620" w:type="dxa"/>
            <w:vAlign w:val="bottom"/>
            <w:gridSpan w:val="3"/>
          </w:tcPr>
          <w:p>
            <w:pPr>
              <w:ind w:left="2020"/>
              <w:spacing w:after="0"/>
              <w:rPr>
                <w:sz w:val="20"/>
                <w:szCs w:val="20"/>
                <w:color w:val="auto"/>
              </w:rPr>
            </w:pPr>
            <w:r>
              <w:rPr>
                <w:rFonts w:ascii="Arial" w:cs="Arial" w:eastAsia="Arial" w:hAnsi="Arial"/>
                <w:sz w:val="18"/>
                <w:szCs w:val="18"/>
                <w:color w:val="auto"/>
              </w:rPr>
              <w:t>By: /s/ Sagi Niri</w:t>
            </w:r>
          </w:p>
        </w:tc>
      </w:tr>
      <w:tr>
        <w:trPr>
          <w:trHeight w:val="222"/>
        </w:trPr>
        <w:tc>
          <w:tcPr>
            <w:tcW w:w="36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Sagi Niri</w:t>
            </w:r>
          </w:p>
        </w:tc>
        <w:tc>
          <w:tcPr>
            <w:tcW w:w="440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378"/>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r>
        <w:trPr>
          <w:trHeight w:val="163"/>
        </w:trPr>
        <w:tc>
          <w:tcPr>
            <w:tcW w:w="36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40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706"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15.1</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83" w:lineRule="exact"/>
        <w:rPr>
          <w:sz w:val="20"/>
          <w:szCs w:val="20"/>
          <w:color w:val="auto"/>
        </w:rPr>
      </w:pPr>
    </w:p>
    <w:p>
      <w:pPr>
        <w:ind w:right="320"/>
        <w:spacing w:after="0" w:line="301" w:lineRule="auto"/>
        <w:rPr>
          <w:sz w:val="20"/>
          <w:szCs w:val="20"/>
          <w:color w:val="auto"/>
        </w:rPr>
      </w:pPr>
      <w:r>
        <w:rPr>
          <w:rFonts w:ascii="Arial" w:cs="Arial" w:eastAsia="Arial" w:hAnsi="Arial"/>
          <w:sz w:val="21"/>
          <w:szCs w:val="21"/>
          <w:color w:val="auto"/>
        </w:rPr>
        <w:t>We consent to the incorporation by reference in the registration statement (No. 333-258731) on Form S-8 of our report dated March 15, 2022, with respect to the consolidated financial statements of Tremor International Ltd.</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/s/ Somekh Chaikin</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Somekh Chaikin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Member Firm of KPMG International</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Tel Aviv, Israel</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March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253365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347345</wp:posOffset>
            </wp:positionV>
            <wp:extent cx="7132320" cy="342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060"/>
      </w:cols>
      <w:pgMar w:left="500" w:top="7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
      <w:numFmt w:val="bullet"/>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
      <w:numFmt w:val="bullet"/>
      <w:start w:val="1"/>
    </w:lvl>
  </w:abstractNum>
  <w:abstractNum w:abstractNumId="12">
    <w:nsid w:val="1EBA5D23"/>
    <w:multiLevelType w:val="hybridMultilevel"/>
    <w:lvl w:ilvl="0">
      <w:lvlJc w:val="left"/>
      <w:lvlText w:val="•"/>
      <w:numFmt w:val="bullet"/>
      <w:start w:val="1"/>
    </w:lvl>
  </w:abstractNum>
  <w:abstractNum w:abstractNumId="13">
    <w:nsid w:val="661E3F1E"/>
    <w:multiLevelType w:val="hybridMultilevel"/>
    <w:lvl w:ilvl="0">
      <w:lvlJc w:val="left"/>
      <w:lvlText w:val="•"/>
      <w:numFmt w:val="bullet"/>
      <w:start w:val="1"/>
    </w:lvl>
  </w:abstractNum>
  <w:abstractNum w:abstractNumId="14">
    <w:nsid w:val="5DC79EA8"/>
    <w:multiLevelType w:val="hybridMultilevel"/>
    <w:lvl w:ilvl="0">
      <w:lvlJc w:val="left"/>
      <w:lvlText w:val="•"/>
      <w:numFmt w:val="bullet"/>
      <w:start w:val="1"/>
    </w:lvl>
  </w:abstractNum>
  <w:abstractNum w:abstractNumId="15">
    <w:nsid w:val="540A471C"/>
    <w:multiLevelType w:val="hybridMultilevel"/>
    <w:lvl w:ilvl="0">
      <w:lvlJc w:val="left"/>
      <w:lvlText w:val="•"/>
      <w:numFmt w:val="bullet"/>
      <w:start w:val="1"/>
    </w:lvl>
  </w:abstractNum>
  <w:abstractNum w:abstractNumId="16">
    <w:nsid w:val="7BD3EE7B"/>
    <w:multiLevelType w:val="hybridMultilevel"/>
    <w:lvl w:ilvl="0">
      <w:lvlJc w:val="left"/>
      <w:lvlText w:val="•"/>
      <w:numFmt w:val="bullet"/>
      <w:start w:val="1"/>
    </w:lvl>
  </w:abstractNum>
  <w:abstractNum w:abstractNumId="17">
    <w:nsid w:val="51D9C564"/>
    <w:multiLevelType w:val="hybridMultilevel"/>
    <w:lvl w:ilvl="0">
      <w:lvlJc w:val="left"/>
      <w:lvlText w:val="•"/>
      <w:numFmt w:val="bullet"/>
      <w:start w:val="1"/>
    </w:lvl>
  </w:abstractNum>
  <w:abstractNum w:abstractNumId="18">
    <w:nsid w:val="613EFDC5"/>
    <w:multiLevelType w:val="hybridMultilevel"/>
    <w:lvl w:ilvl="0">
      <w:lvlJc w:val="left"/>
      <w:lvlText w:val="•"/>
      <w:numFmt w:val="bullet"/>
      <w:start w:val="1"/>
    </w:lvl>
  </w:abstractNum>
  <w:abstractNum w:abstractNumId="19">
    <w:nsid w:val="BF72B14"/>
    <w:multiLevelType w:val="hybridMultilevel"/>
    <w:lvl w:ilvl="0">
      <w:lvlJc w:val="left"/>
      <w:lvlText w:val="•"/>
      <w:numFmt w:val="bullet"/>
      <w:start w:val="1"/>
    </w:lvl>
  </w:abstractNum>
  <w:abstractNum w:abstractNumId="20">
    <w:nsid w:val="11447B73"/>
    <w:multiLevelType w:val="hybridMultilevel"/>
    <w:lvl w:ilvl="0">
      <w:lvlJc w:val="left"/>
      <w:lvlText w:val="•"/>
      <w:numFmt w:val="bullet"/>
      <w:start w:val="1"/>
    </w:lvl>
  </w:abstractNum>
  <w:abstractNum w:abstractNumId="21">
    <w:nsid w:val="42963E5A"/>
    <w:multiLevelType w:val="hybridMultilevel"/>
    <w:lvl w:ilvl="0">
      <w:lvlJc w:val="left"/>
      <w:lvlText w:val="•"/>
      <w:numFmt w:val="bullet"/>
      <w:start w:val="1"/>
    </w:lvl>
  </w:abstractNum>
  <w:abstractNum w:abstractNumId="22">
    <w:nsid w:val="A0382C5"/>
    <w:multiLevelType w:val="hybridMultilevel"/>
    <w:lvl w:ilvl="0">
      <w:lvlJc w:val="left"/>
      <w:lvlText w:val="•"/>
      <w:numFmt w:val="bullet"/>
      <w:start w:val="1"/>
    </w:lvl>
  </w:abstractNum>
  <w:abstractNum w:abstractNumId="23">
    <w:nsid w:val="8F2B15E"/>
    <w:multiLevelType w:val="hybridMultilevel"/>
    <w:lvl w:ilvl="0">
      <w:lvlJc w:val="left"/>
      <w:lvlText w:val="•"/>
      <w:numFmt w:val="bullet"/>
      <w:start w:val="1"/>
    </w:lvl>
  </w:abstractNum>
  <w:abstractNum w:abstractNumId="24">
    <w:nsid w:val="1A32234B"/>
    <w:multiLevelType w:val="hybridMultilevel"/>
    <w:lvl w:ilvl="0">
      <w:lvlJc w:val="left"/>
      <w:lvlText w:val="•"/>
      <w:numFmt w:val="bullet"/>
      <w:start w:val="1"/>
    </w:lvl>
  </w:abstractNum>
  <w:abstractNum w:abstractNumId="25">
    <w:nsid w:val="3B0FD379"/>
    <w:multiLevelType w:val="hybridMultilevel"/>
    <w:lvl w:ilvl="0">
      <w:lvlJc w:val="left"/>
      <w:lvlText w:val="•"/>
      <w:numFmt w:val="bullet"/>
      <w:start w:val="1"/>
    </w:lvl>
  </w:abstractNum>
  <w:abstractNum w:abstractNumId="26">
    <w:nsid w:val="68EB2F63"/>
    <w:multiLevelType w:val="hybridMultilevel"/>
    <w:lvl w:ilvl="0">
      <w:lvlJc w:val="left"/>
      <w:lvlText w:val="(%1)"/>
      <w:numFmt w:val="decimal"/>
      <w:start w:val="1"/>
    </w:lvl>
  </w:abstractNum>
  <w:abstractNum w:abstractNumId="27">
    <w:nsid w:val="4962813B"/>
    <w:multiLevelType w:val="hybridMultilevel"/>
    <w:lvl w:ilvl="0">
      <w:lvlJc w:val="left"/>
      <w:lvlText w:val="(%1)"/>
      <w:numFmt w:val="decimal"/>
      <w:start w:val="1"/>
    </w:lvl>
  </w:abstractNum>
  <w:abstractNum w:abstractNumId="28">
    <w:nsid w:val="60B6DF70"/>
    <w:multiLevelType w:val="hybridMultilevel"/>
    <w:lvl w:ilvl="0">
      <w:lvlJc w:val="left"/>
      <w:lvlText w:val="(%1)"/>
      <w:numFmt w:val="decimal"/>
      <w:start w:val="1"/>
    </w:lvl>
  </w:abstractNum>
  <w:abstractNum w:abstractNumId="29">
    <w:nsid w:val="6A5EE64"/>
    <w:multiLevelType w:val="hybridMultilevel"/>
    <w:lvl w:ilvl="0">
      <w:lvlJc w:val="left"/>
      <w:lvlText w:val="(%1)"/>
      <w:numFmt w:val="lowerLetter"/>
      <w:start w:val="1"/>
    </w:lvl>
  </w:abstractNum>
  <w:abstractNum w:abstractNumId="30">
    <w:nsid w:val="14330624"/>
    <w:multiLevelType w:val="hybridMultilevel"/>
    <w:lvl w:ilvl="0">
      <w:lvlJc w:val="left"/>
      <w:lvlText w:val="(%1)"/>
      <w:numFmt w:val="decimal"/>
      <w:start w:val="5"/>
    </w:lvl>
  </w:abstractNum>
  <w:abstractNum w:abstractNumId="31">
    <w:nsid w:val="7FFFCA11"/>
    <w:multiLevelType w:val="hybridMultilevel"/>
    <w:lvl w:ilvl="0">
      <w:lvlJc w:val="left"/>
      <w:lvlText w:val="(%1)"/>
      <w:numFmt w:val="decimal"/>
      <w:start w:val="1"/>
    </w:lvl>
  </w:abstractNum>
  <w:abstractNum w:abstractNumId="32">
    <w:nsid w:val="1A27709E"/>
    <w:multiLevelType w:val="hybridMultilevel"/>
    <w:lvl w:ilvl="0">
      <w:lvlJc w:val="left"/>
      <w:lvlText w:val="(%1)"/>
      <w:numFmt w:val="decimal"/>
      <w:start w:val="1"/>
    </w:lvl>
  </w:abstractNum>
  <w:abstractNum w:abstractNumId="33">
    <w:nsid w:val="71EA1109"/>
    <w:multiLevelType w:val="hybridMultilevel"/>
    <w:lvl w:ilvl="0">
      <w:lvlJc w:val="left"/>
      <w:lvlText w:val="(%1)"/>
      <w:numFmt w:val="decimal"/>
      <w:start w:val="1"/>
    </w:lvl>
  </w:abstractNum>
  <w:abstractNum w:abstractNumId="34">
    <w:nsid w:val="100F59DC"/>
    <w:multiLevelType w:val="hybridMultilevel"/>
    <w:lvl w:ilvl="0">
      <w:lvlJc w:val="left"/>
      <w:lvlText w:val="•"/>
      <w:numFmt w:val="bullet"/>
      <w:start w:val="1"/>
    </w:lvl>
  </w:abstractNum>
  <w:abstractNum w:abstractNumId="35">
    <w:nsid w:val="7FB7E0AA"/>
    <w:multiLevelType w:val="hybridMultilevel"/>
    <w:lvl w:ilvl="0">
      <w:lvlJc w:val="left"/>
      <w:lvlText w:val="•"/>
      <w:numFmt w:val="bullet"/>
      <w:start w:val="1"/>
    </w:lvl>
  </w:abstractNum>
  <w:abstractNum w:abstractNumId="36">
    <w:nsid w:val="6EB5BD4"/>
    <w:multiLevelType w:val="hybridMultilevel"/>
    <w:lvl w:ilvl="0">
      <w:lvlJc w:val="left"/>
      <w:lvlText w:val="•"/>
      <w:numFmt w:val="bullet"/>
      <w:start w:val="1"/>
    </w:lvl>
  </w:abstractNum>
  <w:abstractNum w:abstractNumId="37">
    <w:nsid w:val="6F6DD9AC"/>
    <w:multiLevelType w:val="hybridMultilevel"/>
    <w:lvl w:ilvl="0">
      <w:lvlJc w:val="left"/>
      <w:lvlText w:val="•"/>
      <w:numFmt w:val="bullet"/>
      <w:start w:val="1"/>
    </w:lvl>
  </w:abstractNum>
  <w:abstractNum w:abstractNumId="38">
    <w:nsid w:val="94211F2"/>
    <w:multiLevelType w:val="hybridMultilevel"/>
    <w:lvl w:ilvl="0">
      <w:lvlJc w:val="left"/>
      <w:lvlText w:val="•"/>
      <w:numFmt w:val="bullet"/>
      <w:start w:val="1"/>
    </w:lvl>
  </w:abstractNum>
  <w:abstractNum w:abstractNumId="39">
    <w:nsid w:val="885E1B"/>
    <w:multiLevelType w:val="hybridMultilevel"/>
    <w:lvl w:ilvl="0">
      <w:lvlJc w:val="left"/>
      <w:lvlText w:val="•"/>
      <w:numFmt w:val="bullet"/>
      <w:start w:val="1"/>
    </w:lvl>
  </w:abstractNum>
  <w:abstractNum w:abstractNumId="40">
    <w:nsid w:val="76272110"/>
    <w:multiLevelType w:val="hybridMultilevel"/>
    <w:lvl w:ilvl="0">
      <w:lvlJc w:val="left"/>
      <w:lvlText w:val="•"/>
      <w:numFmt w:val="bullet"/>
      <w:start w:val="1"/>
    </w:lvl>
    <w:lvl w:ilvl="1">
      <w:lvlJc w:val="left"/>
      <w:lvlText w:val="•"/>
      <w:numFmt w:val="bullet"/>
      <w:start w:val="1"/>
    </w:lvl>
  </w:abstractNum>
  <w:abstractNum w:abstractNumId="41">
    <w:nsid w:val="4C04A8AF"/>
    <w:multiLevelType w:val="hybridMultilevel"/>
    <w:lvl w:ilvl="0">
      <w:lvlJc w:val="left"/>
      <w:lvlText w:val="•"/>
      <w:numFmt w:val="bullet"/>
      <w:start w:val="1"/>
    </w:lvl>
  </w:abstractNum>
  <w:abstractNum w:abstractNumId="42">
    <w:nsid w:val="1716703B"/>
    <w:multiLevelType w:val="hybridMultilevel"/>
    <w:lvl w:ilvl="0">
      <w:lvlJc w:val="left"/>
      <w:lvlText w:val="•"/>
      <w:numFmt w:val="bullet"/>
      <w:start w:val="1"/>
    </w:lvl>
  </w:abstractNum>
  <w:abstractNum w:abstractNumId="43">
    <w:nsid w:val="14E17E33"/>
    <w:multiLevelType w:val="hybridMultilevel"/>
    <w:lvl w:ilvl="0">
      <w:lvlJc w:val="left"/>
      <w:lvlText w:val="(%1)"/>
      <w:numFmt w:val="lowerRoman"/>
      <w:start w:val="2"/>
    </w:lvl>
  </w:abstractNum>
  <w:abstractNum w:abstractNumId="44">
    <w:nsid w:val="3222E7CD"/>
    <w:multiLevelType w:val="hybridMultilevel"/>
    <w:lvl w:ilvl="0">
      <w:lvlJc w:val="left"/>
      <w:lvlText w:val="•"/>
      <w:numFmt w:val="bullet"/>
      <w:start w:val="1"/>
    </w:lvl>
  </w:abstractNum>
  <w:abstractNum w:abstractNumId="45">
    <w:nsid w:val="74DE0EE3"/>
    <w:multiLevelType w:val="hybridMultilevel"/>
    <w:lvl w:ilvl="0">
      <w:lvlJc w:val="left"/>
      <w:lvlText w:val="•"/>
      <w:numFmt w:val="bullet"/>
      <w:start w:val="1"/>
    </w:lvl>
  </w:abstractNum>
  <w:abstractNum w:abstractNumId="46">
    <w:nsid w:val="68EBC550"/>
    <w:multiLevelType w:val="hybridMultilevel"/>
    <w:lvl w:ilvl="0">
      <w:lvlJc w:val="left"/>
      <w:lvlText w:val="•"/>
      <w:numFmt w:val="bullet"/>
      <w:start w:val="1"/>
    </w:lvl>
  </w:abstractNum>
  <w:abstractNum w:abstractNumId="47">
    <w:nsid w:val="2DF6D648"/>
    <w:multiLevelType w:val="hybridMultilevel"/>
    <w:lvl w:ilvl="0">
      <w:lvlJc w:val="left"/>
      <w:lvlText w:val="•"/>
      <w:numFmt w:val="bullet"/>
      <w:start w:val="1"/>
    </w:lvl>
  </w:abstractNum>
  <w:abstractNum w:abstractNumId="48">
    <w:nsid w:val="46B7D447"/>
    <w:multiLevelType w:val="hybridMultilevel"/>
    <w:lvl w:ilvl="0">
      <w:lvlJc w:val="left"/>
      <w:lvlText w:val="•"/>
      <w:numFmt w:val="bullet"/>
      <w:start w:val="1"/>
    </w:lvl>
  </w:abstractNum>
  <w:abstractNum w:abstractNumId="49">
    <w:nsid w:val="4A2AC315"/>
    <w:multiLevelType w:val="hybridMultilevel"/>
    <w:lvl w:ilvl="0">
      <w:lvlJc w:val="left"/>
      <w:lvlText w:val="•"/>
      <w:numFmt w:val="bullet"/>
      <w:start w:val="1"/>
    </w:lvl>
  </w:abstractNum>
  <w:abstractNum w:abstractNumId="50">
    <w:nsid w:val="39EE015C"/>
    <w:multiLevelType w:val="hybridMultilevel"/>
    <w:lvl w:ilvl="0">
      <w:lvlJc w:val="left"/>
      <w:lvlText w:val="•"/>
      <w:numFmt w:val="bullet"/>
      <w:start w:val="1"/>
    </w:lvl>
  </w:abstractNum>
  <w:abstractNum w:abstractNumId="51">
    <w:nsid w:val="57FC4FBB"/>
    <w:multiLevelType w:val="hybridMultilevel"/>
    <w:lvl w:ilvl="0">
      <w:lvlJc w:val="left"/>
      <w:lvlText w:val="•"/>
      <w:numFmt w:val="bullet"/>
      <w:start w:val="1"/>
    </w:lvl>
  </w:abstractNum>
  <w:abstractNum w:abstractNumId="52">
    <w:nsid w:val="CC1016F"/>
    <w:multiLevelType w:val="hybridMultilevel"/>
    <w:lvl w:ilvl="0">
      <w:lvlJc w:val="left"/>
      <w:lvlText w:val="•"/>
      <w:numFmt w:val="bullet"/>
      <w:start w:val="1"/>
    </w:lvl>
  </w:abstractNum>
  <w:abstractNum w:abstractNumId="53">
    <w:nsid w:val="43F18422"/>
    <w:multiLevelType w:val="hybridMultilevel"/>
    <w:lvl w:ilvl="0">
      <w:lvlJc w:val="left"/>
      <w:lvlText w:val="*"/>
      <w:numFmt w:val="bullet"/>
      <w:start w:val="1"/>
    </w:lvl>
  </w:abstractNum>
  <w:abstractNum w:abstractNumId="54">
    <w:nsid w:val="60EF0119"/>
    <w:multiLevelType w:val="hybridMultilevel"/>
    <w:lvl w:ilvl="0">
      <w:lvlJc w:val="left"/>
      <w:lvlText w:val="(%1)"/>
      <w:numFmt w:val="decimal"/>
      <w:start w:val="1"/>
    </w:lvl>
  </w:abstractNum>
  <w:abstractNum w:abstractNumId="55">
    <w:nsid w:val="26F324BA"/>
    <w:multiLevelType w:val="hybridMultilevel"/>
    <w:lvl w:ilvl="0">
      <w:lvlJc w:val="left"/>
      <w:lvlText w:val="•"/>
      <w:numFmt w:val="bullet"/>
      <w:start w:val="1"/>
    </w:lvl>
  </w:abstractNum>
  <w:abstractNum w:abstractNumId="56">
    <w:nsid w:val="7F01579B"/>
    <w:multiLevelType w:val="hybridMultilevel"/>
    <w:lvl w:ilvl="0">
      <w:lvlJc w:val="left"/>
      <w:lvlText w:val="(%1)"/>
      <w:numFmt w:val="lowerRoman"/>
      <w:start w:val="4"/>
    </w:lvl>
  </w:abstractNum>
  <w:abstractNum w:abstractNumId="57">
    <w:nsid w:val="49DA307D"/>
    <w:multiLevelType w:val="hybridMultilevel"/>
    <w:lvl w:ilvl="0">
      <w:lvlJc w:val="left"/>
      <w:lvlText w:val="•"/>
      <w:numFmt w:val="bullet"/>
      <w:start w:val="1"/>
    </w:lvl>
  </w:abstractNum>
  <w:abstractNum w:abstractNumId="58">
    <w:nsid w:val="7055A5F5"/>
    <w:multiLevelType w:val="hybridMultilevel"/>
    <w:lvl w:ilvl="0">
      <w:lvlJc w:val="left"/>
      <w:lvlText w:val="•"/>
      <w:numFmt w:val="bullet"/>
      <w:start w:val="1"/>
    </w:lvl>
  </w:abstractNum>
  <w:abstractNum w:abstractNumId="59">
    <w:nsid w:val="5FB8370B"/>
    <w:multiLevelType w:val="hybridMultilevel"/>
    <w:lvl w:ilvl="0">
      <w:lvlJc w:val="left"/>
      <w:lvlText w:val="(%1)"/>
      <w:numFmt w:val="decimal"/>
      <w:start w:val="1"/>
    </w:lvl>
  </w:abstractNum>
  <w:abstractNum w:abstractNumId="60">
    <w:nsid w:val="50801EE1"/>
    <w:multiLevelType w:val="hybridMultilevel"/>
    <w:lvl w:ilvl="0">
      <w:lvlJc w:val="left"/>
      <w:lvlText w:val="(%1)"/>
      <w:numFmt w:val="decimal"/>
      <w:start w:val="1"/>
    </w:lvl>
  </w:abstractNum>
  <w:abstractNum w:abstractNumId="61">
    <w:nsid w:val="488AC1A"/>
    <w:multiLevelType w:val="hybridMultilevel"/>
    <w:lvl w:ilvl="0">
      <w:lvlJc w:val="left"/>
      <w:lvlText w:val="%1"/>
      <w:numFmt w:val="decimal"/>
      <w:start w:val="104"/>
    </w:lvl>
  </w:abstractNum>
  <w:abstractNum w:abstractNumId="62">
    <w:nsid w:val="5FB8011C"/>
    <w:multiLevelType w:val="hybridMultilevel"/>
    <w:lvl w:ilvl="0">
      <w:lvlJc w:val="left"/>
      <w:lvlText w:val="%1."/>
      <w:numFmt w:val="lowerLetter"/>
      <w:start w:val="1"/>
    </w:lvl>
  </w:abstractNum>
  <w:abstractNum w:abstractNumId="63">
    <w:nsid w:val="6AA78F7F"/>
    <w:multiLevelType w:val="hybridMultilevel"/>
    <w:lvl w:ilvl="0">
      <w:lvlJc w:val="left"/>
      <w:lvlText w:val="%1."/>
      <w:numFmt w:val="lowerLetter"/>
      <w:start w:val="4"/>
    </w:lvl>
    <w:lvl w:ilvl="1">
      <w:lvlJc w:val="left"/>
      <w:lvlText w:val="%2."/>
      <w:numFmt w:val="decimal"/>
      <w:start w:val="1"/>
    </w:lvl>
  </w:abstractNum>
  <w:abstractNum w:abstractNumId="64">
    <w:nsid w:val="7672BD23"/>
    <w:multiLevelType w:val="hybridMultilevel"/>
    <w:lvl w:ilvl="0">
      <w:lvlJc w:val="left"/>
      <w:lvlText w:val="%1"/>
      <w:numFmt w:val="lowerLetter"/>
      <w:start w:val="1"/>
    </w:lvl>
    <w:lvl w:ilvl="1">
      <w:lvlJc w:val="left"/>
      <w:lvlText w:val="%2."/>
      <w:numFmt w:val="decimal"/>
      <w:start w:val="4"/>
    </w:lvl>
  </w:abstractNum>
  <w:abstractNum w:abstractNumId="65">
    <w:nsid w:val="6FC75AF8"/>
    <w:multiLevelType w:val="hybridMultilevel"/>
    <w:lvl w:ilvl="0">
      <w:lvlJc w:val="left"/>
      <w:lvlText w:val="%1."/>
      <w:numFmt w:val="lowerLetter"/>
      <w:start w:val="5"/>
    </w:lvl>
    <w:lvl w:ilvl="1">
      <w:lvlJc w:val="left"/>
      <w:lvlText w:val="%2"/>
      <w:numFmt w:val="decimal"/>
      <w:start w:val="1"/>
    </w:lvl>
  </w:abstractNum>
  <w:abstractNum w:abstractNumId="66">
    <w:nsid w:val="6A5F7029"/>
    <w:multiLevelType w:val="hybridMultilevel"/>
    <w:lvl w:ilvl="0">
      <w:lvlJc w:val="left"/>
      <w:lvlText w:val="%1."/>
      <w:numFmt w:val="lowerLetter"/>
      <w:start w:val="1"/>
    </w:lvl>
    <w:lvl w:ilvl="1">
      <w:lvlJc w:val="left"/>
      <w:lvlText w:val="•"/>
      <w:numFmt w:val="bullet"/>
      <w:start w:val="1"/>
    </w:lvl>
  </w:abstractNum>
  <w:abstractNum w:abstractNumId="67">
    <w:nsid w:val="7D5E18F8"/>
    <w:multiLevelType w:val="hybridMultilevel"/>
    <w:lvl w:ilvl="0">
      <w:lvlJc w:val="left"/>
      <w:lvlText w:val="%1."/>
      <w:numFmt w:val="lowerLetter"/>
      <w:start w:val="4"/>
    </w:lvl>
  </w:abstractNum>
  <w:abstractNum w:abstractNumId="68">
    <w:nsid w:val="5F3534A4"/>
    <w:multiLevelType w:val="hybridMultilevel"/>
    <w:lvl w:ilvl="0">
      <w:lvlJc w:val="left"/>
      <w:lvlText w:val="%1."/>
      <w:numFmt w:val="lowerLetter"/>
      <w:start w:val="5"/>
    </w:lvl>
  </w:abstractNum>
  <w:abstractNum w:abstractNumId="69">
    <w:nsid w:val="73A1821B"/>
    <w:multiLevelType w:val="hybridMultilevel"/>
    <w:lvl w:ilvl="0">
      <w:lvlJc w:val="left"/>
      <w:lvlText w:val="•"/>
      <w:numFmt w:val="bullet"/>
      <w:start w:val="1"/>
    </w:lvl>
  </w:abstractNum>
  <w:abstractNum w:abstractNumId="70">
    <w:nsid w:val="7DE67713"/>
    <w:multiLevelType w:val="hybridMultilevel"/>
    <w:lvl w:ilvl="0">
      <w:lvlJc w:val="left"/>
      <w:lvlText w:val="%1"/>
      <w:numFmt w:val="lowerLetter"/>
      <w:start w:val="1"/>
    </w:lvl>
    <w:lvl w:ilvl="1">
      <w:lvlJc w:val="left"/>
      <w:lvlText w:val="•"/>
      <w:numFmt w:val="bullet"/>
      <w:start w:val="1"/>
    </w:lvl>
  </w:abstractNum>
  <w:abstractNum w:abstractNumId="71">
    <w:nsid w:val="555C55B5"/>
    <w:multiLevelType w:val="hybridMultilevel"/>
    <w:lvl w:ilvl="0">
      <w:lvlJc w:val="left"/>
      <w:lvlText w:val="%1."/>
      <w:numFmt w:val="lowerLetter"/>
      <w:start w:val="1"/>
    </w:lvl>
    <w:lvl w:ilvl="1">
      <w:lvlJc w:val="left"/>
      <w:lvlText w:val="%2)"/>
      <w:numFmt w:val="decimal"/>
      <w:start w:val="1"/>
    </w:lvl>
  </w:abstractNum>
  <w:abstractNum w:abstractNumId="72">
    <w:nsid w:val="3FA62ACA"/>
    <w:multiLevelType w:val="hybridMultilevel"/>
    <w:lvl w:ilvl="0">
      <w:lvlJc w:val="left"/>
      <w:lvlText w:val="%1)"/>
      <w:numFmt w:val="decimal"/>
      <w:start w:val="2"/>
    </w:lvl>
  </w:abstractNum>
  <w:abstractNum w:abstractNumId="73">
    <w:nsid w:val="14FCE74E"/>
    <w:multiLevelType w:val="hybridMultilevel"/>
    <w:lvl w:ilvl="0">
      <w:lvlJc w:val="left"/>
      <w:lvlText w:val="%1)"/>
      <w:numFmt w:val="decimal"/>
      <w:start w:val="3"/>
    </w:lvl>
  </w:abstractNum>
  <w:abstractNum w:abstractNumId="74">
    <w:nsid w:val="6A3DD3E8"/>
    <w:multiLevelType w:val="hybridMultilevel"/>
    <w:lvl w:ilvl="0">
      <w:lvlJc w:val="left"/>
      <w:lvlText w:val="%1)"/>
      <w:numFmt w:val="decimal"/>
      <w:start w:val="4"/>
    </w:lvl>
  </w:abstractNum>
  <w:abstractNum w:abstractNumId="75">
    <w:nsid w:val="71C91298"/>
    <w:multiLevelType w:val="hybridMultilevel"/>
    <w:lvl w:ilvl="0">
      <w:lvlJc w:val="left"/>
      <w:lvlText w:val="%1."/>
      <w:numFmt w:val="lowerLetter"/>
      <w:start w:val="2"/>
    </w:lvl>
    <w:lvl w:ilvl="1">
      <w:lvlJc w:val="left"/>
      <w:lvlText w:val="%2)"/>
      <w:numFmt w:val="decimal"/>
      <w:start w:val="1"/>
    </w:lvl>
  </w:abstractNum>
  <w:abstractNum w:abstractNumId="76">
    <w:nsid w:val="9DAF632"/>
    <w:multiLevelType w:val="hybridMultilevel"/>
    <w:lvl w:ilvl="0">
      <w:lvlJc w:val="left"/>
      <w:lvlText w:val="%1)"/>
      <w:numFmt w:val="decimal"/>
      <w:start w:val="2"/>
    </w:lvl>
  </w:abstractNum>
  <w:abstractNum w:abstractNumId="77">
    <w:nsid w:val="53299938"/>
    <w:multiLevelType w:val="hybridMultilevel"/>
    <w:lvl w:ilvl="0">
      <w:lvlJc w:val="left"/>
      <w:lvlText w:val="%1."/>
      <w:numFmt w:val="lowerLetter"/>
      <w:start w:val="3"/>
    </w:lvl>
    <w:lvl w:ilvl="1">
      <w:lvlJc w:val="left"/>
      <w:lvlText w:val="%2)"/>
      <w:numFmt w:val="decimal"/>
      <w:start w:val="1"/>
    </w:lvl>
  </w:abstractNum>
  <w:abstractNum w:abstractNumId="78">
    <w:nsid w:val="1FBFE8E0"/>
    <w:multiLevelType w:val="hybridMultilevel"/>
    <w:lvl w:ilvl="0">
      <w:lvlJc w:val="left"/>
      <w:lvlText w:val="%1)"/>
      <w:numFmt w:val="decimal"/>
      <w:start w:val="2"/>
    </w:lvl>
  </w:abstractNum>
  <w:abstractNum w:abstractNumId="79">
    <w:nsid w:val="5092CA79"/>
    <w:multiLevelType w:val="hybridMultilevel"/>
    <w:lvl w:ilvl="0">
      <w:lvlJc w:val="left"/>
      <w:lvlText w:val="%1"/>
      <w:numFmt w:val="lowerLetter"/>
      <w:start w:val="1"/>
    </w:lvl>
    <w:lvl w:ilvl="1">
      <w:lvlJc w:val="left"/>
      <w:lvlText w:val="%2)"/>
      <w:numFmt w:val="decimal"/>
      <w:start w:val="3"/>
    </w:lvl>
  </w:abstractNum>
  <w:abstractNum w:abstractNumId="80">
    <w:nsid w:val="1D545C4D"/>
    <w:multiLevelType w:val="hybridMultilevel"/>
    <w:lvl w:ilvl="0">
      <w:lvlJc w:val="left"/>
      <w:lvlText w:val="%1."/>
      <w:numFmt w:val="lowerLetter"/>
      <w:start w:val="4"/>
    </w:lvl>
    <w:lvl w:ilvl="1">
      <w:lvlJc w:val="left"/>
      <w:lvlText w:val="%2"/>
      <w:numFmt w:val="decimal"/>
      <w:start w:val="1"/>
    </w:lvl>
  </w:abstractNum>
  <w:abstractNum w:abstractNumId="81">
    <w:nsid w:val="59ADEA3D"/>
    <w:multiLevelType w:val="hybridMultilevel"/>
    <w:lvl w:ilvl="0">
      <w:lvlJc w:val="left"/>
      <w:lvlText w:val="%1."/>
      <w:numFmt w:val="lowerLetter"/>
      <w:start w:val="5"/>
    </w:lvl>
    <w:lvl w:ilvl="1">
      <w:lvlJc w:val="left"/>
      <w:lvlText w:val="%2)"/>
      <w:numFmt w:val="decimal"/>
      <w:start w:val="1"/>
    </w:lvl>
  </w:abstractNum>
  <w:abstractNum w:abstractNumId="82">
    <w:nsid w:val="288F1A34"/>
    <w:multiLevelType w:val="hybridMultilevel"/>
    <w:lvl w:ilvl="0">
      <w:lvlJc w:val="left"/>
      <w:lvlText w:val="%1)"/>
      <w:numFmt w:val="decimal"/>
      <w:start w:val="4"/>
    </w:lvl>
  </w:abstractNum>
  <w:abstractNum w:abstractNumId="83">
    <w:nsid w:val="2A155DBC"/>
    <w:multiLevelType w:val="hybridMultilevel"/>
    <w:lvl w:ilvl="0">
      <w:lvlJc w:val="left"/>
      <w:lvlText w:val="%1."/>
      <w:numFmt w:val="lowerLetter"/>
      <w:start w:val="6"/>
    </w:lvl>
    <w:lvl w:ilvl="1">
      <w:lvlJc w:val="left"/>
      <w:lvlText w:val="•"/>
      <w:numFmt w:val="bullet"/>
      <w:start w:val="1"/>
    </w:lvl>
  </w:abstractNum>
  <w:abstractNum w:abstractNumId="84">
    <w:nsid w:val="1D9F6E5F"/>
    <w:multiLevelType w:val="hybridMultilevel"/>
    <w:lvl w:ilvl="0">
      <w:lvlJc w:val="left"/>
      <w:lvlText w:val="•"/>
      <w:numFmt w:val="bullet"/>
      <w:start w:val="1"/>
    </w:lvl>
  </w:abstractNum>
  <w:abstractNum w:abstractNumId="85">
    <w:nsid w:val="97E1B4E"/>
    <w:multiLevelType w:val="hybridMultilevel"/>
    <w:lvl w:ilvl="0">
      <w:lvlJc w:val="left"/>
      <w:lvlText w:val="%1."/>
      <w:numFmt w:val="lowerLetter"/>
      <w:start w:val="7"/>
    </w:lvl>
  </w:abstractNum>
  <w:abstractNum w:abstractNumId="86">
    <w:nsid w:val="51088277"/>
    <w:multiLevelType w:val="hybridMultilevel"/>
    <w:lvl w:ilvl="0">
      <w:lvlJc w:val="left"/>
      <w:lvlText w:val="%1."/>
      <w:numFmt w:val="lowerLetter"/>
      <w:start w:val="10"/>
    </w:lvl>
    <w:lvl w:ilvl="1">
      <w:lvlJc w:val="left"/>
      <w:lvlText w:val="%2)"/>
      <w:numFmt w:val="decimal"/>
      <w:start w:val="1"/>
    </w:lvl>
    <w:lvl w:ilvl="2">
      <w:lvlJc w:val="left"/>
      <w:lvlText w:val="%3)"/>
      <w:numFmt w:val="lowerLetter"/>
      <w:start w:val="1"/>
    </w:lvl>
  </w:abstractNum>
  <w:abstractNum w:abstractNumId="87">
    <w:nsid w:val="1CA0C5FA"/>
    <w:multiLevelType w:val="hybridMultilevel"/>
    <w:lvl w:ilvl="0">
      <w:lvlJc w:val="left"/>
      <w:lvlText w:val="%1."/>
      <w:numFmt w:val="lowerLetter"/>
      <w:start w:val="11"/>
    </w:lvl>
    <w:lvl w:ilvl="1">
      <w:lvlJc w:val="left"/>
      <w:lvlText w:val="(%2)"/>
      <w:numFmt w:val="decimal"/>
      <w:start w:val="1"/>
    </w:lvl>
  </w:abstractNum>
  <w:abstractNum w:abstractNumId="88">
    <w:nsid w:val="53584BCB"/>
    <w:multiLevelType w:val="hybridMultilevel"/>
    <w:lvl w:ilvl="0">
      <w:lvlJc w:val="left"/>
      <w:lvlText w:val="%1."/>
      <w:numFmt w:val="lowerLetter"/>
      <w:start w:val="12"/>
    </w:lvl>
  </w:abstractNum>
  <w:abstractNum w:abstractNumId="89">
    <w:nsid w:val="415E286C"/>
    <w:multiLevelType w:val="hybridMultilevel"/>
    <w:lvl w:ilvl="0">
      <w:lvlJc w:val="left"/>
      <w:lvlText w:val="%1."/>
      <w:numFmt w:val="lowerLetter"/>
      <w:start w:val="14"/>
    </w:lvl>
    <w:lvl w:ilvl="1">
      <w:lvlJc w:val="left"/>
      <w:lvlText w:val="•"/>
      <w:numFmt w:val="bullet"/>
      <w:start w:val="1"/>
    </w:lvl>
  </w:abstractNum>
  <w:abstractNum w:abstractNumId="90">
    <w:nsid w:val="7C58FD05"/>
    <w:multiLevelType w:val="hybridMultilevel"/>
    <w:lvl w:ilvl="0">
      <w:lvlJc w:val="left"/>
      <w:lvlText w:val="%1."/>
      <w:numFmt w:val="lowerLetter"/>
      <w:start w:val="15"/>
    </w:lvl>
    <w:lvl w:ilvl="1">
      <w:lvlJc w:val="left"/>
      <w:lvlText w:val="•"/>
      <w:numFmt w:val="bullet"/>
      <w:start w:val="1"/>
    </w:lvl>
  </w:abstractNum>
  <w:abstractNum w:abstractNumId="91">
    <w:nsid w:val="23D86AAC"/>
    <w:multiLevelType w:val="hybridMultilevel"/>
    <w:lvl w:ilvl="0">
      <w:lvlJc w:val="left"/>
      <w:lvlText w:val="%1."/>
      <w:numFmt w:val="lowerLetter"/>
      <w:start w:val="16"/>
    </w:lvl>
  </w:abstractNum>
  <w:abstractNum w:abstractNumId="92">
    <w:nsid w:val="45E6D486"/>
    <w:multiLevelType w:val="hybridMultilevel"/>
    <w:lvl w:ilvl="0">
      <w:lvlJc w:val="left"/>
      <w:lvlText w:val="%1."/>
      <w:numFmt w:val="lowerLetter"/>
      <w:start w:val="1"/>
    </w:lvl>
    <w:lvl w:ilvl="1">
      <w:lvlJc w:val="left"/>
      <w:lvlText w:val="%2)"/>
      <w:numFmt w:val="decimal"/>
      <w:start w:val="1"/>
    </w:lvl>
  </w:abstractNum>
  <w:abstractNum w:abstractNumId="93">
    <w:nsid w:val="5C10FE21"/>
    <w:multiLevelType w:val="hybridMultilevel"/>
    <w:lvl w:ilvl="0">
      <w:lvlJc w:val="left"/>
      <w:lvlText w:val="%1."/>
      <w:numFmt w:val="lowerLetter"/>
      <w:start w:val="2"/>
    </w:lvl>
    <w:lvl w:ilvl="1">
      <w:lvlJc w:val="left"/>
      <w:lvlText w:val="(%2)"/>
      <w:numFmt w:val="decimal"/>
      <w:start w:val="1"/>
    </w:lvl>
  </w:abstractNum>
  <w:abstractNum w:abstractNumId="94">
    <w:nsid w:val="E7FFA2B"/>
    <w:multiLevelType w:val="hybridMultilevel"/>
    <w:lvl w:ilvl="0">
      <w:lvlJc w:val="left"/>
      <w:lvlText w:val="%1."/>
      <w:numFmt w:val="lowerLetter"/>
      <w:start w:val="4"/>
    </w:lvl>
  </w:abstractNum>
  <w:abstractNum w:abstractNumId="95">
    <w:nsid w:val="3C5991AA"/>
    <w:multiLevelType w:val="hybridMultilevel"/>
    <w:lvl w:ilvl="0">
      <w:lvlJc w:val="left"/>
      <w:lvlText w:val="(*)"/>
      <w:numFmt w:val="bullet"/>
      <w:start w:val="1"/>
    </w:lvl>
  </w:abstractNum>
  <w:abstractNum w:abstractNumId="96">
    <w:nsid w:val="4BD8591A"/>
    <w:multiLevelType w:val="hybridMultilevel"/>
    <w:lvl w:ilvl="0">
      <w:lvlJc w:val="left"/>
      <w:lvlText w:val="%1."/>
      <w:numFmt w:val="lowerLetter"/>
      <w:start w:val="5"/>
    </w:lvl>
  </w:abstractNum>
  <w:abstractNum w:abstractNumId="97">
    <w:nsid w:val="78DF6A55"/>
    <w:multiLevelType w:val="hybridMultilevel"/>
    <w:lvl w:ilvl="0">
      <w:lvlJc w:val="left"/>
      <w:lvlText w:val="%1."/>
      <w:numFmt w:val="lowerLetter"/>
      <w:start w:val="1"/>
    </w:lvl>
    <w:lvl w:ilvl="1">
      <w:lvlJc w:val="left"/>
      <w:lvlText w:val="•"/>
      <w:numFmt w:val="bullet"/>
      <w:start w:val="1"/>
    </w:lvl>
  </w:abstractNum>
  <w:abstractNum w:abstractNumId="98">
    <w:nsid w:val="39B7AAA2"/>
    <w:multiLevelType w:val="hybridMultilevel"/>
    <w:lvl w:ilvl="0">
      <w:lvlJc w:val="left"/>
      <w:lvlText w:val="%1)"/>
      <w:numFmt w:val="decimal"/>
      <w:start w:val="1"/>
    </w:lvl>
    <w:lvl w:ilvl="1">
      <w:lvlJc w:val="left"/>
      <w:lvlText w:val="%2)"/>
      <w:numFmt w:val="lowerLetter"/>
      <w:start w:val="1"/>
    </w:lvl>
  </w:abstractNum>
  <w:abstractNum w:abstractNumId="99">
    <w:nsid w:val="2B0D8DBE"/>
    <w:multiLevelType w:val="hybridMultilevel"/>
    <w:lvl w:ilvl="0">
      <w:lvlJc w:val="left"/>
      <w:lvlText w:val="%1)"/>
      <w:numFmt w:val="decimal"/>
      <w:start w:val="5"/>
    </w:lvl>
  </w:abstractNum>
  <w:abstractNum w:abstractNumId="100">
    <w:nsid w:val="6C80EC70"/>
    <w:multiLevelType w:val="hybridMultilevel"/>
    <w:lvl w:ilvl="0">
      <w:lvlJc w:val="left"/>
      <w:lvlText w:val="%1."/>
      <w:numFmt w:val="lowerLetter"/>
      <w:start w:val="2"/>
    </w:lvl>
    <w:lvl w:ilvl="1">
      <w:lvlJc w:val="left"/>
      <w:lvlText w:val="%2)"/>
      <w:numFmt w:val="decimal"/>
      <w:start w:val="1"/>
    </w:lvl>
  </w:abstractNum>
  <w:abstractNum w:abstractNumId="101">
    <w:nsid w:val="379E21B5"/>
    <w:multiLevelType w:val="hybridMultilevel"/>
    <w:lvl w:ilvl="0">
      <w:lvlJc w:val="left"/>
      <w:lvlText w:val="%1)"/>
      <w:numFmt w:val="decimal"/>
      <w:start w:val="4"/>
    </w:lvl>
  </w:abstractNum>
  <w:abstractNum w:abstractNumId="102">
    <w:nsid w:val="69E373"/>
    <w:multiLevelType w:val="hybridMultilevel"/>
    <w:lvl w:ilvl="0">
      <w:lvlJc w:val="left"/>
      <w:lvlText w:val="(%1)"/>
      <w:numFmt w:val="decimal"/>
      <w:start w:val="1"/>
    </w:lvl>
  </w:abstractNum>
  <w:abstractNum w:abstractNumId="103">
    <w:nsid w:val="2C27173B"/>
    <w:multiLevelType w:val="hybridMultilevel"/>
    <w:lvl w:ilvl="0">
      <w:lvlJc w:val="left"/>
      <w:lvlText w:val="(%1)"/>
      <w:numFmt w:val="decimal"/>
      <w:start w:val="1"/>
    </w:lvl>
  </w:abstractNum>
  <w:abstractNum w:abstractNumId="104">
    <w:nsid w:val="4C9B0904"/>
    <w:multiLevelType w:val="hybridMultilevel"/>
    <w:lvl w:ilvl="0">
      <w:lvlJc w:val="left"/>
      <w:lvlText w:val="*"/>
      <w:numFmt w:val="bullet"/>
      <w:start w:val="1"/>
    </w:lvl>
  </w:abstractNum>
  <w:abstractNum w:abstractNumId="105">
    <w:nsid w:val="6AA7B75C"/>
    <w:multiLevelType w:val="hybridMultilevel"/>
    <w:lvl w:ilvl="0">
      <w:lvlJc w:val="left"/>
      <w:lvlText w:val="%1."/>
      <w:numFmt w:val="lowerLetter"/>
      <w:start w:val="1"/>
    </w:lvl>
    <w:lvl w:ilvl="1">
      <w:lvlJc w:val="left"/>
      <w:lvlText w:val="•"/>
      <w:numFmt w:val="bullet"/>
      <w:start w:val="1"/>
    </w:lvl>
  </w:abstractNum>
  <w:abstractNum w:abstractNumId="106">
    <w:nsid w:val="1DF029D3"/>
    <w:multiLevelType w:val="hybridMultilevel"/>
    <w:lvl w:ilvl="0">
      <w:lvlJc w:val="left"/>
      <w:lvlText w:val="%1."/>
      <w:numFmt w:val="lowerLetter"/>
      <w:start w:val="2"/>
    </w:lvl>
  </w:abstractNum>
  <w:abstractNum w:abstractNumId="107">
    <w:nsid w:val="5675FF36"/>
    <w:multiLevelType w:val="hybridMultilevel"/>
    <w:lvl w:ilvl="0">
      <w:lvlJc w:val="left"/>
      <w:lvlText w:val="(*)"/>
      <w:numFmt w:val="bullet"/>
      <w:start w:val="1"/>
    </w:lvl>
  </w:abstractNum>
  <w:abstractNum w:abstractNumId="108">
    <w:nsid w:val="3DD15094"/>
    <w:multiLevelType w:val="hybridMultilevel"/>
    <w:lvl w:ilvl="0">
      <w:lvlJc w:val="left"/>
      <w:lvlText w:val="%1."/>
      <w:numFmt w:val="lowerLetter"/>
      <w:start w:val="3"/>
    </w:lvl>
  </w:abstractNum>
  <w:abstractNum w:abstractNumId="109">
    <w:nsid w:val="3DB012B3"/>
    <w:multiLevelType w:val="hybridMultilevel"/>
    <w:lvl w:ilvl="0">
      <w:lvlJc w:val="left"/>
      <w:lvlText w:val="%1."/>
      <w:numFmt w:val="lowerLetter"/>
      <w:start w:val="4"/>
    </w:lvl>
  </w:abstractNum>
  <w:abstractNum w:abstractNumId="110">
    <w:nsid w:val="2708C9AF"/>
    <w:multiLevelType w:val="hybridMultilevel"/>
    <w:lvl w:ilvl="0">
      <w:lvlJc w:val="left"/>
      <w:lvlText w:val="%1."/>
      <w:numFmt w:val="lowerLetter"/>
      <w:start w:val="5"/>
    </w:lvl>
  </w:abstractNum>
  <w:abstractNum w:abstractNumId="111">
    <w:nsid w:val="5B25ACE2"/>
    <w:multiLevelType w:val="hybridMultilevel"/>
    <w:lvl w:ilvl="0">
      <w:lvlJc w:val="left"/>
      <w:lvlText w:val="%1."/>
      <w:numFmt w:val="lowerLetter"/>
      <w:start w:val="1"/>
    </w:lvl>
    <w:lvl w:ilvl="1">
      <w:lvlJc w:val="left"/>
      <w:lvlText w:val="•"/>
      <w:numFmt w:val="bullet"/>
      <w:start w:val="1"/>
    </w:lvl>
  </w:abstractNum>
  <w:abstractNum w:abstractNumId="112">
    <w:nsid w:val="175DFCF0"/>
    <w:multiLevelType w:val="hybridMultilevel"/>
    <w:lvl w:ilvl="0">
      <w:lvlJc w:val="left"/>
      <w:lvlText w:val="%1."/>
      <w:numFmt w:val="lowerLetter"/>
      <w:start w:val="2"/>
    </w:lvl>
  </w:abstractNum>
  <w:abstractNum w:abstractNumId="113">
    <w:nsid w:val="4F97E3E4"/>
    <w:multiLevelType w:val="hybridMultilevel"/>
    <w:lvl w:ilvl="0">
      <w:lvlJc w:val="left"/>
      <w:lvlText w:val="%1."/>
      <w:numFmt w:val="lowerLetter"/>
      <w:start w:val="3"/>
    </w:lvl>
  </w:abstractNum>
  <w:abstractNum w:abstractNumId="114">
    <w:nsid w:val="53B0A9E"/>
    <w:multiLevelType w:val="hybridMultilevel"/>
    <w:lvl w:ilvl="0">
      <w:lvlJc w:val="left"/>
      <w:lvlText w:val="(%1)"/>
      <w:numFmt w:val="lowerLetter"/>
      <w:start w:val="1"/>
    </w:lvl>
  </w:abstractNum>
  <w:abstractNum w:abstractNumId="115">
    <w:nsid w:val="34FD6B4F"/>
    <w:multiLevelType w:val="hybridMultilevel"/>
    <w:lvl w:ilvl="0">
      <w:lvlJc w:val="left"/>
      <w:lvlText w:val="%1."/>
      <w:numFmt w:val="lowerLetter"/>
      <w:start w:val="5"/>
    </w:lvl>
  </w:abstractNum>
  <w:abstractNum w:abstractNumId="116">
    <w:nsid w:val="5915FF32"/>
    <w:multiLevelType w:val="hybridMultilevel"/>
    <w:lvl w:ilvl="0">
      <w:lvlJc w:val="left"/>
      <w:lvlText w:val="%1."/>
      <w:numFmt w:val="lowerLetter"/>
      <w:start w:val="6"/>
    </w:lvl>
  </w:abstractNum>
  <w:abstractNum w:abstractNumId="117">
    <w:nsid w:val="56438D15"/>
    <w:multiLevelType w:val="hybridMultilevel"/>
    <w:lvl w:ilvl="0">
      <w:lvlJc w:val="left"/>
      <w:lvlText w:val="%1."/>
      <w:numFmt w:val="lowerLetter"/>
      <w:start w:val="1"/>
    </w:lvl>
  </w:abstractNum>
  <w:abstractNum w:abstractNumId="118">
    <w:nsid w:val="519E3149"/>
    <w:multiLevelType w:val="hybridMultilevel"/>
    <w:lvl w:ilvl="0">
      <w:lvlJc w:val="left"/>
      <w:lvlText w:val="*"/>
      <w:numFmt w:val="bullet"/>
      <w:start w:val="1"/>
    </w:lvl>
  </w:abstractNum>
  <w:abstractNum w:abstractNumId="119">
    <w:nsid w:val="2C6E4AFD"/>
    <w:multiLevelType w:val="hybridMultilevel"/>
    <w:lvl w:ilvl="0">
      <w:lvlJc w:val="left"/>
      <w:lvlText w:val="%1."/>
      <w:numFmt w:val="lowerLetter"/>
      <w:start w:val="2"/>
    </w:lvl>
  </w:abstractNum>
  <w:abstractNum w:abstractNumId="120">
    <w:nsid w:val="17A1B582"/>
    <w:multiLevelType w:val="hybridMultilevel"/>
    <w:lvl w:ilvl="0">
      <w:lvlJc w:val="left"/>
      <w:lvlText w:val="%1."/>
      <w:numFmt w:val="lowerLetter"/>
      <w:start w:val="3"/>
    </w:lvl>
  </w:abstractNum>
  <w:abstractNum w:abstractNumId="121">
    <w:nsid w:val="4DF72E4E"/>
    <w:multiLevelType w:val="hybridMultilevel"/>
    <w:lvl w:ilvl="0">
      <w:lvlJc w:val="left"/>
      <w:lvlText w:val="•"/>
      <w:numFmt w:val="bullet"/>
      <w:start w:val="1"/>
    </w:lvl>
  </w:abstractNum>
  <w:abstractNum w:abstractNumId="122">
    <w:nsid w:val="5046B5A9"/>
    <w:multiLevelType w:val="hybridMultilevel"/>
    <w:lvl w:ilvl="0">
      <w:lvlJc w:val="left"/>
      <w:lvlText w:val="•"/>
      <w:numFmt w:val="bullet"/>
      <w:start w:val="1"/>
    </w:lvl>
  </w:abstractNum>
  <w:abstractNum w:abstractNumId="123">
    <w:nsid w:val="5D888A08"/>
    <w:multiLevelType w:val="hybridMultilevel"/>
    <w:lvl w:ilvl="0">
      <w:lvlJc w:val="left"/>
      <w:lvlText w:val="•"/>
      <w:numFmt w:val="bullet"/>
      <w:start w:val="1"/>
    </w:lvl>
  </w:abstractNum>
  <w:abstractNum w:abstractNumId="124">
    <w:nsid w:val="2A082C70"/>
    <w:multiLevelType w:val="hybridMultilevel"/>
    <w:lvl w:ilvl="0">
      <w:lvlJc w:val="left"/>
      <w:lvlText w:val="•"/>
      <w:numFmt w:val="bullet"/>
      <w:start w:val="1"/>
    </w:lvl>
  </w:abstractNum>
  <w:abstractNum w:abstractNumId="125">
    <w:nsid w:val="5EC6AFD4"/>
    <w:multiLevelType w:val="hybridMultilevel"/>
    <w:lvl w:ilvl="0">
      <w:lvlJc w:val="left"/>
      <w:lvlText w:val="•"/>
      <w:numFmt w:val="bullet"/>
      <w:start w:val="1"/>
    </w:lvl>
  </w:abstractNum>
  <w:abstractNum w:abstractNumId="126">
    <w:nsid w:val="19E21BB2"/>
    <w:multiLevelType w:val="hybridMultilevel"/>
    <w:lvl w:ilvl="0">
      <w:lvlJc w:val="left"/>
      <w:lvlText w:val="•"/>
      <w:numFmt w:val="bullet"/>
      <w:start w:val="1"/>
    </w:lvl>
  </w:abstractNum>
  <w:abstractNum w:abstractNumId="127">
    <w:nsid w:val="75E0858A"/>
    <w:multiLevelType w:val="hybridMultilevel"/>
    <w:lvl w:ilvl="0">
      <w:lvlJc w:val="left"/>
      <w:lvlText w:val="•"/>
      <w:numFmt w:val="bullet"/>
      <w:start w:val="1"/>
    </w:lvl>
  </w:abstractNum>
  <w:abstractNum w:abstractNumId="128">
    <w:nsid w:val="57A61A29"/>
    <w:multiLevelType w:val="hybridMultilevel"/>
    <w:lvl w:ilvl="0">
      <w:lvlJc w:val="left"/>
      <w:lvlText w:val="•"/>
      <w:numFmt w:val="bullet"/>
      <w:start w:val="1"/>
    </w:lvl>
  </w:abstractNum>
  <w:abstractNum w:abstractNumId="129">
    <w:nsid w:val="5399C654"/>
    <w:multiLevelType w:val="hybridMultilevel"/>
    <w:lvl w:ilvl="0">
      <w:lvlJc w:val="left"/>
      <w:lvlText w:val="%1."/>
      <w:numFmt w:val="decimal"/>
      <w:start w:val="1"/>
    </w:lvl>
    <w:lvl w:ilvl="1">
      <w:lvlJc w:val="left"/>
      <w:lvlText w:val="(%2)"/>
      <w:numFmt w:val="lowerLetter"/>
      <w:start w:val="1"/>
    </w:lvl>
  </w:abstractNum>
  <w:abstractNum w:abstractNumId="130">
    <w:nsid w:val="20EE1348"/>
    <w:multiLevelType w:val="hybridMultilevel"/>
    <w:lvl w:ilvl="0">
      <w:lvlJc w:val="left"/>
      <w:lvlText w:val="%1."/>
      <w:numFmt w:val="decimal"/>
      <w:start w:val="1"/>
    </w:lvl>
    <w:lvl w:ilvl="1">
      <w:lvlJc w:val="left"/>
      <w:lvlText w:val="(%2)"/>
      <w:numFmt w:val="lowerLetter"/>
      <w:start w:val="1"/>
    </w:lvl>
  </w:abstractNum>
  <w:abstractNum w:abstractNumId="131">
    <w:nsid w:val="4427069A"/>
    <w:multiLevelType w:val="hybridMultilevel"/>
    <w:lvl w:ilvl="0">
      <w:lvlJc w:val="left"/>
      <w:lvlText w:val="%1."/>
      <w:numFmt w:val="decimal"/>
      <w:start w:val="1"/>
    </w:lvl>
  </w:abstractNum>
  <w:abstractNum w:abstractNumId="132">
    <w:nsid w:val="B37E80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221" Type="http://schemas.openxmlformats.org/officeDocument/2006/relationships/image" Target="media/image208.png"/><Relationship Id="rId222" Type="http://schemas.openxmlformats.org/officeDocument/2006/relationships/image" Target="media/image209.png"/><Relationship Id="rId223" Type="http://schemas.openxmlformats.org/officeDocument/2006/relationships/image" Target="media/image210.png"/><Relationship Id="rId224"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png"/><Relationship Id="rId228"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png"/><Relationship Id="rId232" Type="http://schemas.openxmlformats.org/officeDocument/2006/relationships/image" Target="media/image219.png"/><Relationship Id="rId233" Type="http://schemas.openxmlformats.org/officeDocument/2006/relationships/image" Target="media/image220.png"/><Relationship Id="rId234" Type="http://schemas.openxmlformats.org/officeDocument/2006/relationships/image" Target="media/image221.png"/><Relationship Id="rId235" Type="http://schemas.openxmlformats.org/officeDocument/2006/relationships/image" Target="media/image222.png"/><Relationship Id="rId236" Type="http://schemas.openxmlformats.org/officeDocument/2006/relationships/image" Target="media/image223.png"/><Relationship Id="rId237" Type="http://schemas.openxmlformats.org/officeDocument/2006/relationships/image" Target="media/image224.png"/><Relationship Id="rId238" Type="http://schemas.openxmlformats.org/officeDocument/2006/relationships/image" Target="media/image225.png"/><Relationship Id="rId239" Type="http://schemas.openxmlformats.org/officeDocument/2006/relationships/image" Target="media/image226.png"/><Relationship Id="rId240"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3" Type="http://schemas.openxmlformats.org/officeDocument/2006/relationships/image" Target="media/image230.png"/><Relationship Id="rId244" Type="http://schemas.openxmlformats.org/officeDocument/2006/relationships/image" Target="media/image231.png"/><Relationship Id="rId245" Type="http://schemas.openxmlformats.org/officeDocument/2006/relationships/image" Target="media/image232.png"/><Relationship Id="rId146" Type="http://schemas.openxmlformats.org/officeDocument/2006/relationships/hyperlink" Target="https://www.sec.gov/Archives/edgar/data/1849396/000119312521182848/d50431dex32.htm" TargetMode="External"/><Relationship Id="rId147" Type="http://schemas.openxmlformats.org/officeDocument/2006/relationships/hyperlink" Target="https://www.sec.gov/Archives/edgar/data/1849396/000119312521189808/d50431dex41.htm" TargetMode="External"/><Relationship Id="rId148" Type="http://schemas.openxmlformats.org/officeDocument/2006/relationships/hyperlink" Target="https://www.sec.gov/Archives/edgar/data/1849396/000119312521171330/d50431dex101.htm" TargetMode="External"/><Relationship Id="rId149" Type="http://schemas.openxmlformats.org/officeDocument/2006/relationships/hyperlink" Target="https://www.sec.gov/Archives/edgar/data/1849396/000119312521171330/d50431dex102.htm" TargetMode="External"/><Relationship Id="rId150" Type="http://schemas.openxmlformats.org/officeDocument/2006/relationships/hyperlink" Target="https://www.sec.gov/Archives/edgar/data/1849396/000119312521182848/d50431dex103.htm" TargetMode="External"/><Relationship Id="rId151" Type="http://schemas.openxmlformats.org/officeDocument/2006/relationships/hyperlink" Target="https://www.sec.gov/Archives/edgar/data/1849396/000119312521171330/d50431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2022-03-15T15:25:51Z</dcterms:created>
  <dcterms:modified xsi:type="dcterms:W3CDTF">2022-03-15T15:25:51Z</dcterms:modified>
</cp:coreProperties>
</file>